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9447" w14:textId="77777777" w:rsidR="00672CDF" w:rsidRDefault="00672CDF" w:rsidP="00767C17">
      <w:pPr>
        <w:rPr>
          <w:rFonts w:asciiTheme="majorHAnsi" w:eastAsia="Times New Roman" w:hAnsiTheme="majorHAnsi" w:cstheme="majorHAnsi"/>
          <w:lang w:eastAsia="en-GB"/>
        </w:rPr>
      </w:pPr>
    </w:p>
    <w:p w14:paraId="1ECBCAFC" w14:textId="77777777" w:rsidR="001C421A" w:rsidRDefault="001C421A" w:rsidP="00767C17">
      <w:pPr>
        <w:rPr>
          <w:rFonts w:asciiTheme="majorHAnsi" w:hAnsiTheme="majorHAnsi" w:cstheme="majorHAnsi"/>
        </w:rPr>
      </w:pPr>
    </w:p>
    <w:p w14:paraId="487A1158" w14:textId="77777777" w:rsidR="0078574D" w:rsidRDefault="0078574D" w:rsidP="00E47B9D">
      <w:pPr>
        <w:pStyle w:val="Alumna"/>
        <w:jc w:val="center"/>
        <w:rPr>
          <w:rFonts w:cstheme="majorHAnsi"/>
        </w:rPr>
      </w:pPr>
      <w:r>
        <w:rPr>
          <w:rFonts w:cstheme="majorHAnsi"/>
        </w:rPr>
        <w:t>Due Diligence Policy</w:t>
      </w:r>
    </w:p>
    <w:p w14:paraId="5B31BDF3" w14:textId="5C16169A" w:rsidR="00300297" w:rsidRPr="00300297" w:rsidRDefault="00300297" w:rsidP="0078574D">
      <w:pPr>
        <w:pStyle w:val="NormalWeb"/>
        <w:shd w:val="clear" w:color="auto" w:fill="FFFFFF"/>
        <w:spacing w:before="0" w:after="0" w:line="276" w:lineRule="auto"/>
        <w:textAlignment w:val="baseline"/>
        <w:rPr>
          <w:rFonts w:ascii="Century Gothic" w:hAnsi="Century Gothic"/>
          <w:b/>
          <w:bCs/>
          <w:color w:val="215868" w:themeColor="accent5" w:themeShade="80"/>
          <w:sz w:val="32"/>
          <w:szCs w:val="32"/>
        </w:rPr>
      </w:pPr>
      <w:r w:rsidRPr="00300297">
        <w:rPr>
          <w:rStyle w:val="Strong"/>
          <w:rFonts w:ascii="Century Gothic" w:hAnsi="Century Gothic"/>
          <w:color w:val="215868" w:themeColor="accent5" w:themeShade="80"/>
          <w:sz w:val="32"/>
          <w:szCs w:val="32"/>
        </w:rPr>
        <w:t>Introduction</w:t>
      </w:r>
    </w:p>
    <w:p w14:paraId="65E47DE4" w14:textId="77777777" w:rsidR="006F5703" w:rsidRDefault="00D00F2E" w:rsidP="00765B0D">
      <w:pPr>
        <w:pStyle w:val="NormalWeb"/>
        <w:shd w:val="clear" w:color="auto" w:fill="FFFFFF"/>
        <w:spacing w:before="0" w:after="0" w:line="276" w:lineRule="auto"/>
        <w:jc w:val="both"/>
        <w:textAlignment w:val="baseline"/>
        <w:rPr>
          <w:color w:val="auto"/>
        </w:rPr>
      </w:pPr>
      <w:r>
        <w:rPr>
          <w:color w:val="auto"/>
        </w:rPr>
        <w:t xml:space="preserve">Historically, </w:t>
      </w:r>
      <w:r w:rsidR="00E47B9D">
        <w:rPr>
          <w:color w:val="auto"/>
        </w:rPr>
        <w:t xml:space="preserve">MANNA has partnered </w:t>
      </w:r>
      <w:r>
        <w:rPr>
          <w:color w:val="auto"/>
        </w:rPr>
        <w:t xml:space="preserve">solely with </w:t>
      </w:r>
      <w:r w:rsidR="00A22A37">
        <w:rPr>
          <w:color w:val="auto"/>
        </w:rPr>
        <w:t>3/4 Anglican Dioceses in Mozambique and Angola but with the multiplication of Dioceses</w:t>
      </w:r>
      <w:r w:rsidR="003D5834">
        <w:rPr>
          <w:color w:val="auto"/>
        </w:rPr>
        <w:t xml:space="preserve">, </w:t>
      </w:r>
      <w:r w:rsidR="00A22A37">
        <w:rPr>
          <w:color w:val="auto"/>
        </w:rPr>
        <w:t xml:space="preserve">a new Province and </w:t>
      </w:r>
      <w:r w:rsidR="003D5834">
        <w:rPr>
          <w:color w:val="auto"/>
        </w:rPr>
        <w:t xml:space="preserve">more collaborative approach with a range of other organisations, </w:t>
      </w:r>
      <w:r w:rsidR="00E42CAE">
        <w:rPr>
          <w:color w:val="auto"/>
        </w:rPr>
        <w:t xml:space="preserve">the MANNA </w:t>
      </w:r>
      <w:r w:rsidR="00300297">
        <w:rPr>
          <w:color w:val="auto"/>
        </w:rPr>
        <w:t>trustees</w:t>
      </w:r>
      <w:r w:rsidR="00490132">
        <w:rPr>
          <w:color w:val="auto"/>
        </w:rPr>
        <w:t xml:space="preserve"> are working with more Dioceses and organisations and so </w:t>
      </w:r>
      <w:r w:rsidR="00300297">
        <w:rPr>
          <w:color w:val="auto"/>
        </w:rPr>
        <w:t xml:space="preserve"> </w:t>
      </w:r>
      <w:r w:rsidR="006F5703">
        <w:rPr>
          <w:color w:val="auto"/>
        </w:rPr>
        <w:t xml:space="preserve">they </w:t>
      </w:r>
      <w:r w:rsidR="00983532">
        <w:rPr>
          <w:color w:val="auto"/>
        </w:rPr>
        <w:t xml:space="preserve">need to </w:t>
      </w:r>
      <w:r w:rsidR="00983532" w:rsidRPr="006F5703">
        <w:rPr>
          <w:b/>
          <w:bCs/>
          <w:color w:val="auto"/>
        </w:rPr>
        <w:t>exercise due diligence</w:t>
      </w:r>
      <w:r w:rsidR="00490132">
        <w:rPr>
          <w:color w:val="auto"/>
        </w:rPr>
        <w:t xml:space="preserve"> when sending funds and working with other partners. </w:t>
      </w:r>
    </w:p>
    <w:p w14:paraId="7A9AD9E7" w14:textId="354BDD7B" w:rsidR="005E408F" w:rsidRPr="005E408F" w:rsidRDefault="00572FE9" w:rsidP="00765B0D">
      <w:pPr>
        <w:pStyle w:val="NormalWeb"/>
        <w:shd w:val="clear" w:color="auto" w:fill="FFFFFF"/>
        <w:spacing w:before="0" w:after="0" w:line="276" w:lineRule="auto"/>
        <w:jc w:val="both"/>
        <w:textAlignment w:val="baseline"/>
        <w:rPr>
          <w:rStyle w:val="Strong"/>
          <w:b w:val="0"/>
          <w:bCs w:val="0"/>
          <w:color w:val="auto"/>
        </w:rPr>
      </w:pPr>
      <w:r>
        <w:rPr>
          <w:color w:val="auto"/>
        </w:rPr>
        <w:t>This policy lays ou</w:t>
      </w:r>
      <w:r w:rsidR="00EE0D8C">
        <w:rPr>
          <w:color w:val="auto"/>
        </w:rPr>
        <w:t>t</w:t>
      </w:r>
      <w:r>
        <w:rPr>
          <w:color w:val="auto"/>
        </w:rPr>
        <w:t xml:space="preserve"> how we approach these decisions and </w:t>
      </w:r>
      <w:r w:rsidR="00EE0D8C">
        <w:rPr>
          <w:color w:val="auto"/>
        </w:rPr>
        <w:t xml:space="preserve">gauge risk, what specific information we ask for and how we </w:t>
      </w:r>
      <w:r w:rsidR="00EE0D8C" w:rsidRPr="006F5703">
        <w:rPr>
          <w:b/>
          <w:bCs/>
          <w:color w:val="auto"/>
        </w:rPr>
        <w:t>assess suitability</w:t>
      </w:r>
      <w:r w:rsidR="00EE0D8C">
        <w:rPr>
          <w:color w:val="auto"/>
        </w:rPr>
        <w:t xml:space="preserve"> </w:t>
      </w:r>
      <w:r w:rsidR="0078574D">
        <w:rPr>
          <w:color w:val="auto"/>
        </w:rPr>
        <w:t>as part of the grant application process</w:t>
      </w:r>
      <w:r w:rsidR="0078574D" w:rsidRPr="000D1221">
        <w:rPr>
          <w:color w:val="auto"/>
        </w:rPr>
        <w:t>.</w:t>
      </w:r>
      <w:r w:rsidR="0050118A">
        <w:rPr>
          <w:color w:val="auto"/>
        </w:rPr>
        <w:t xml:space="preserve"> </w:t>
      </w:r>
      <w:r w:rsidR="0078574D" w:rsidRPr="000D1221">
        <w:rPr>
          <w:color w:val="auto"/>
        </w:rPr>
        <w:t xml:space="preserve">For technical legal or financial issues, </w:t>
      </w:r>
      <w:r w:rsidR="0050118A">
        <w:rPr>
          <w:color w:val="auto"/>
        </w:rPr>
        <w:t>we may</w:t>
      </w:r>
      <w:r w:rsidR="0078574D" w:rsidRPr="000D1221">
        <w:rPr>
          <w:color w:val="auto"/>
        </w:rPr>
        <w:t xml:space="preserve"> seek appropriate professional opinion and guidance.</w:t>
      </w:r>
      <w:r w:rsidR="0078574D">
        <w:rPr>
          <w:color w:val="auto"/>
        </w:rPr>
        <w:t xml:space="preserve"> </w:t>
      </w:r>
    </w:p>
    <w:p w14:paraId="21A67811" w14:textId="77777777" w:rsidR="005E408F" w:rsidRPr="009D0B36" w:rsidRDefault="005E408F" w:rsidP="005E408F">
      <w:pPr>
        <w:pStyle w:val="NormalWeb"/>
        <w:shd w:val="clear" w:color="auto" w:fill="FFFFFF"/>
        <w:spacing w:before="0" w:after="0" w:line="276" w:lineRule="auto"/>
        <w:textAlignment w:val="baseline"/>
        <w:rPr>
          <w:rFonts w:ascii="Century Gothic" w:hAnsi="Century Gothic"/>
          <w:color w:val="215868" w:themeColor="accent5" w:themeShade="80"/>
          <w:sz w:val="32"/>
          <w:szCs w:val="32"/>
        </w:rPr>
      </w:pPr>
      <w:r w:rsidRPr="009D0B36">
        <w:rPr>
          <w:rStyle w:val="Strong"/>
          <w:rFonts w:ascii="Century Gothic" w:hAnsi="Century Gothic"/>
          <w:color w:val="215868" w:themeColor="accent5" w:themeShade="80"/>
          <w:sz w:val="32"/>
          <w:szCs w:val="32"/>
          <w:bdr w:val="none" w:sz="0" w:space="0" w:color="auto" w:frame="1"/>
        </w:rPr>
        <w:t>Basic Checks</w:t>
      </w:r>
      <w:r>
        <w:rPr>
          <w:rStyle w:val="Strong"/>
          <w:rFonts w:ascii="Century Gothic" w:hAnsi="Century Gothic"/>
          <w:color w:val="215868" w:themeColor="accent5" w:themeShade="80"/>
          <w:sz w:val="32"/>
          <w:szCs w:val="32"/>
          <w:bdr w:val="none" w:sz="0" w:space="0" w:color="auto" w:frame="1"/>
        </w:rPr>
        <w:t xml:space="preserve"> - Organisations</w:t>
      </w:r>
    </w:p>
    <w:p w14:paraId="0A58F57A" w14:textId="77777777" w:rsidR="005E408F" w:rsidRPr="000D1221" w:rsidRDefault="005E408F" w:rsidP="005E408F">
      <w:pPr>
        <w:pStyle w:val="NormalWeb"/>
        <w:numPr>
          <w:ilvl w:val="0"/>
          <w:numId w:val="7"/>
        </w:numPr>
        <w:shd w:val="clear" w:color="auto" w:fill="FFFFFF"/>
        <w:spacing w:line="276" w:lineRule="auto"/>
        <w:textAlignment w:val="baseline"/>
        <w:rPr>
          <w:color w:val="auto"/>
        </w:rPr>
      </w:pPr>
      <w:r w:rsidRPr="000D1221">
        <w:rPr>
          <w:color w:val="auto"/>
        </w:rPr>
        <w:t xml:space="preserve">If they have a website, </w:t>
      </w:r>
      <w:r>
        <w:rPr>
          <w:color w:val="auto"/>
        </w:rPr>
        <w:t xml:space="preserve">we </w:t>
      </w:r>
      <w:r w:rsidRPr="000D1221">
        <w:rPr>
          <w:color w:val="auto"/>
        </w:rPr>
        <w:t xml:space="preserve">check that what </w:t>
      </w:r>
      <w:proofErr w:type="gramStart"/>
      <w:r w:rsidRPr="000D1221">
        <w:rPr>
          <w:color w:val="auto"/>
        </w:rPr>
        <w:t>they’re</w:t>
      </w:r>
      <w:proofErr w:type="gramEnd"/>
      <w:r w:rsidRPr="000D1221">
        <w:rPr>
          <w:color w:val="auto"/>
        </w:rPr>
        <w:t xml:space="preserve"> proposing fits with what’s on there. If available, review what it says about key members of their team and download and review their annual report/accounts.</w:t>
      </w:r>
    </w:p>
    <w:p w14:paraId="11CDFFDF" w14:textId="77777777" w:rsidR="005E408F" w:rsidRPr="000D1221" w:rsidRDefault="005E408F" w:rsidP="005E408F">
      <w:pPr>
        <w:pStyle w:val="NormalWeb"/>
        <w:numPr>
          <w:ilvl w:val="0"/>
          <w:numId w:val="7"/>
        </w:numPr>
        <w:shd w:val="clear" w:color="auto" w:fill="FFFFFF"/>
        <w:spacing w:line="276" w:lineRule="auto"/>
        <w:textAlignment w:val="baseline"/>
        <w:rPr>
          <w:color w:val="auto"/>
        </w:rPr>
      </w:pPr>
      <w:r>
        <w:rPr>
          <w:color w:val="auto"/>
        </w:rPr>
        <w:t xml:space="preserve">We </w:t>
      </w:r>
      <w:proofErr w:type="gramStart"/>
      <w:r>
        <w:rPr>
          <w:color w:val="auto"/>
        </w:rPr>
        <w:t>c</w:t>
      </w:r>
      <w:r w:rsidRPr="000D1221">
        <w:rPr>
          <w:color w:val="auto"/>
        </w:rPr>
        <w:t>arry out</w:t>
      </w:r>
      <w:proofErr w:type="gramEnd"/>
      <w:r w:rsidRPr="000D1221">
        <w:rPr>
          <w:color w:val="auto"/>
        </w:rPr>
        <w:t xml:space="preserve"> an internet search </w:t>
      </w:r>
      <w:r>
        <w:rPr>
          <w:color w:val="auto"/>
        </w:rPr>
        <w:t>o</w:t>
      </w:r>
      <w:r w:rsidRPr="000D1221">
        <w:rPr>
          <w:color w:val="auto"/>
        </w:rPr>
        <w:t xml:space="preserve">n the company, if </w:t>
      </w:r>
      <w:r>
        <w:rPr>
          <w:color w:val="auto"/>
        </w:rPr>
        <w:t>available</w:t>
      </w:r>
      <w:r w:rsidRPr="000D1221">
        <w:rPr>
          <w:color w:val="auto"/>
        </w:rPr>
        <w:t xml:space="preserve"> and key individuals, to see if there is anything of concern. </w:t>
      </w:r>
    </w:p>
    <w:p w14:paraId="26DDCA7B" w14:textId="77777777" w:rsidR="005E408F" w:rsidRDefault="005E408F" w:rsidP="005E408F">
      <w:pPr>
        <w:pStyle w:val="NormalWeb"/>
        <w:numPr>
          <w:ilvl w:val="0"/>
          <w:numId w:val="7"/>
        </w:numPr>
        <w:shd w:val="clear" w:color="auto" w:fill="FFFFFF"/>
        <w:spacing w:line="276" w:lineRule="auto"/>
        <w:textAlignment w:val="baseline"/>
        <w:rPr>
          <w:color w:val="auto"/>
        </w:rPr>
      </w:pPr>
      <w:r>
        <w:rPr>
          <w:color w:val="auto"/>
        </w:rPr>
        <w:t xml:space="preserve">We </w:t>
      </w:r>
      <w:proofErr w:type="gramStart"/>
      <w:r>
        <w:rPr>
          <w:color w:val="auto"/>
        </w:rPr>
        <w:t>make contact with</w:t>
      </w:r>
      <w:proofErr w:type="gramEnd"/>
      <w:r>
        <w:rPr>
          <w:color w:val="auto"/>
        </w:rPr>
        <w:t xml:space="preserve"> people who work with them and t</w:t>
      </w:r>
      <w:r w:rsidRPr="0027078A">
        <w:rPr>
          <w:color w:val="auto"/>
        </w:rPr>
        <w:t>ake up references, if appropriate.</w:t>
      </w:r>
    </w:p>
    <w:p w14:paraId="25AD9A91" w14:textId="77777777" w:rsidR="005E408F" w:rsidRDefault="005E408F" w:rsidP="005E408F">
      <w:pPr>
        <w:pStyle w:val="NormalWeb"/>
        <w:numPr>
          <w:ilvl w:val="0"/>
          <w:numId w:val="7"/>
        </w:numPr>
        <w:shd w:val="clear" w:color="auto" w:fill="FFFFFF"/>
        <w:spacing w:line="276" w:lineRule="auto"/>
        <w:textAlignment w:val="baseline"/>
        <w:rPr>
          <w:color w:val="auto"/>
        </w:rPr>
      </w:pPr>
      <w:r>
        <w:rPr>
          <w:color w:val="auto"/>
        </w:rPr>
        <w:t xml:space="preserve">In the event of a new Diocese or organization, we find out who is the names of the all the key people: Bishop, Accountant, Secretary and Standing Committee. We learn </w:t>
      </w:r>
      <w:proofErr w:type="gramStart"/>
      <w:r>
        <w:rPr>
          <w:color w:val="auto"/>
        </w:rPr>
        <w:t>of</w:t>
      </w:r>
      <w:proofErr w:type="gramEnd"/>
      <w:r>
        <w:rPr>
          <w:color w:val="auto"/>
        </w:rPr>
        <w:t xml:space="preserve"> their credentials and qualifications.</w:t>
      </w:r>
    </w:p>
    <w:p w14:paraId="100F63E7" w14:textId="77777777" w:rsidR="005E408F" w:rsidRDefault="005E408F" w:rsidP="005E408F">
      <w:pPr>
        <w:pStyle w:val="NormalWeb"/>
        <w:numPr>
          <w:ilvl w:val="0"/>
          <w:numId w:val="7"/>
        </w:numPr>
        <w:shd w:val="clear" w:color="auto" w:fill="FFFFFF"/>
        <w:spacing w:line="276" w:lineRule="auto"/>
        <w:textAlignment w:val="baseline"/>
        <w:rPr>
          <w:color w:val="auto"/>
        </w:rPr>
      </w:pPr>
      <w:r>
        <w:rPr>
          <w:color w:val="auto"/>
        </w:rPr>
        <w:t>We ask what the financial controls are of the organization and details of the bank account.</w:t>
      </w:r>
    </w:p>
    <w:p w14:paraId="39784360" w14:textId="77777777" w:rsidR="005E408F" w:rsidRDefault="005E408F" w:rsidP="005E408F">
      <w:pPr>
        <w:pStyle w:val="NormalWeb"/>
        <w:numPr>
          <w:ilvl w:val="0"/>
          <w:numId w:val="7"/>
        </w:numPr>
        <w:shd w:val="clear" w:color="auto" w:fill="FFFFFF"/>
        <w:spacing w:line="276" w:lineRule="auto"/>
        <w:textAlignment w:val="baseline"/>
        <w:rPr>
          <w:color w:val="auto"/>
        </w:rPr>
      </w:pPr>
      <w:r>
        <w:rPr>
          <w:color w:val="auto"/>
        </w:rPr>
        <w:t xml:space="preserve">We check the IBAN numbers of new bank accounts. </w:t>
      </w:r>
    </w:p>
    <w:p w14:paraId="55BD8507" w14:textId="77777777" w:rsidR="005E408F" w:rsidRDefault="005E408F" w:rsidP="005E408F">
      <w:pPr>
        <w:pStyle w:val="NormalWeb"/>
        <w:numPr>
          <w:ilvl w:val="0"/>
          <w:numId w:val="7"/>
        </w:numPr>
        <w:shd w:val="clear" w:color="auto" w:fill="FFFFFF"/>
        <w:spacing w:line="276" w:lineRule="auto"/>
        <w:textAlignment w:val="baseline"/>
        <w:rPr>
          <w:color w:val="auto"/>
        </w:rPr>
      </w:pPr>
      <w:r>
        <w:rPr>
          <w:color w:val="auto"/>
        </w:rPr>
        <w:t xml:space="preserve">After a first grant, we wait for an income and expenditure report to </w:t>
      </w:r>
      <w:proofErr w:type="gramStart"/>
      <w:r>
        <w:rPr>
          <w:color w:val="auto"/>
        </w:rPr>
        <w:t>see</w:t>
      </w:r>
      <w:proofErr w:type="gramEnd"/>
      <w:r>
        <w:rPr>
          <w:color w:val="auto"/>
        </w:rPr>
        <w:t xml:space="preserve"> it has </w:t>
      </w:r>
      <w:proofErr w:type="gramStart"/>
      <w:r>
        <w:rPr>
          <w:color w:val="auto"/>
        </w:rPr>
        <w:t>been properly accounted</w:t>
      </w:r>
      <w:proofErr w:type="gramEnd"/>
      <w:r>
        <w:rPr>
          <w:color w:val="auto"/>
        </w:rPr>
        <w:t xml:space="preserve"> for. </w:t>
      </w:r>
    </w:p>
    <w:p w14:paraId="62A53E80" w14:textId="77777777" w:rsidR="005E408F" w:rsidRDefault="005E408F" w:rsidP="005E408F">
      <w:pPr>
        <w:pStyle w:val="NormalWeb"/>
        <w:numPr>
          <w:ilvl w:val="0"/>
          <w:numId w:val="7"/>
        </w:numPr>
        <w:shd w:val="clear" w:color="auto" w:fill="FFFFFF"/>
        <w:spacing w:line="276" w:lineRule="auto"/>
        <w:textAlignment w:val="baseline"/>
        <w:rPr>
          <w:color w:val="auto"/>
        </w:rPr>
      </w:pPr>
      <w:r>
        <w:rPr>
          <w:color w:val="auto"/>
        </w:rPr>
        <w:t xml:space="preserve">After the first year of a new </w:t>
      </w:r>
      <w:proofErr w:type="gramStart"/>
      <w:r>
        <w:rPr>
          <w:color w:val="auto"/>
        </w:rPr>
        <w:t>organization</w:t>
      </w:r>
      <w:proofErr w:type="gramEnd"/>
      <w:r>
        <w:rPr>
          <w:color w:val="auto"/>
        </w:rPr>
        <w:t xml:space="preserve"> we ask for audited/examined accounts. </w:t>
      </w:r>
    </w:p>
    <w:p w14:paraId="5900B81B" w14:textId="7C9EE4A4" w:rsidR="000D428D" w:rsidRDefault="000D428D" w:rsidP="005E408F">
      <w:pPr>
        <w:pStyle w:val="NormalWeb"/>
        <w:numPr>
          <w:ilvl w:val="0"/>
          <w:numId w:val="7"/>
        </w:numPr>
        <w:shd w:val="clear" w:color="auto" w:fill="FFFFFF"/>
        <w:spacing w:line="276" w:lineRule="auto"/>
        <w:textAlignment w:val="baseline"/>
        <w:rPr>
          <w:color w:val="auto"/>
        </w:rPr>
      </w:pPr>
      <w:r>
        <w:rPr>
          <w:color w:val="auto"/>
        </w:rPr>
        <w:t xml:space="preserve">We talk to other organisations who work or partner with these </w:t>
      </w:r>
      <w:r w:rsidR="00DB4C12">
        <w:rPr>
          <w:color w:val="auto"/>
        </w:rPr>
        <w:t xml:space="preserve">organisations or dioceses, bearing in mind biases and preconceptions may come into play. </w:t>
      </w:r>
    </w:p>
    <w:p w14:paraId="4B4B7CEC" w14:textId="77777777" w:rsidR="00DB4C12" w:rsidRDefault="00DB4C12" w:rsidP="00DB4C12">
      <w:pPr>
        <w:pStyle w:val="NormalWeb"/>
        <w:shd w:val="clear" w:color="auto" w:fill="FFFFFF"/>
        <w:spacing w:line="276" w:lineRule="auto"/>
        <w:textAlignment w:val="baseline"/>
        <w:rPr>
          <w:color w:val="auto"/>
        </w:rPr>
      </w:pPr>
    </w:p>
    <w:p w14:paraId="014DA852" w14:textId="77777777" w:rsidR="00DB4C12" w:rsidRPr="0027078A" w:rsidRDefault="00DB4C12" w:rsidP="00DB4C12">
      <w:pPr>
        <w:pStyle w:val="NormalWeb"/>
        <w:shd w:val="clear" w:color="auto" w:fill="FFFFFF"/>
        <w:spacing w:line="276" w:lineRule="auto"/>
        <w:textAlignment w:val="baseline"/>
        <w:rPr>
          <w:color w:val="auto"/>
        </w:rPr>
      </w:pPr>
    </w:p>
    <w:p w14:paraId="249170A3" w14:textId="77777777" w:rsidR="005E408F" w:rsidRPr="000D1221" w:rsidRDefault="005E408F" w:rsidP="0078574D">
      <w:pPr>
        <w:pStyle w:val="NormalWeb"/>
        <w:shd w:val="clear" w:color="auto" w:fill="FFFFFF"/>
        <w:spacing w:before="0" w:after="0" w:line="276" w:lineRule="auto"/>
        <w:textAlignment w:val="baseline"/>
        <w:rPr>
          <w:color w:val="auto"/>
        </w:rPr>
      </w:pPr>
    </w:p>
    <w:p w14:paraId="0F5F2760" w14:textId="77777777" w:rsidR="0078574D" w:rsidRDefault="0078574D" w:rsidP="0078574D">
      <w:pPr>
        <w:pStyle w:val="NormalWeb"/>
        <w:shd w:val="clear" w:color="auto" w:fill="FFFFFF"/>
        <w:spacing w:line="276" w:lineRule="auto"/>
        <w:textAlignment w:val="baseline"/>
        <w:rPr>
          <w:rStyle w:val="Strong"/>
          <w:rFonts w:ascii="Century Gothic" w:hAnsi="Century Gothic"/>
          <w:color w:val="215868" w:themeColor="accent5" w:themeShade="80"/>
          <w:sz w:val="32"/>
          <w:szCs w:val="32"/>
          <w:bdr w:val="none" w:sz="0" w:space="0" w:color="auto" w:frame="1"/>
        </w:rPr>
      </w:pPr>
      <w:r>
        <w:rPr>
          <w:rStyle w:val="Strong"/>
          <w:rFonts w:ascii="Century Gothic" w:hAnsi="Century Gothic"/>
          <w:color w:val="215868" w:themeColor="accent5" w:themeShade="80"/>
          <w:sz w:val="32"/>
          <w:szCs w:val="32"/>
          <w:bdr w:val="none" w:sz="0" w:space="0" w:color="auto" w:frame="1"/>
        </w:rPr>
        <w:lastRenderedPageBreak/>
        <w:t>Fundraising Due Diligence</w:t>
      </w:r>
    </w:p>
    <w:p w14:paraId="50764D1D" w14:textId="7B0860D7" w:rsidR="0078574D" w:rsidRPr="005E408F" w:rsidRDefault="0078574D" w:rsidP="0078574D">
      <w:pPr>
        <w:pStyle w:val="NormalWeb"/>
        <w:shd w:val="clear" w:color="auto" w:fill="FFFFFF"/>
        <w:spacing w:line="276" w:lineRule="auto"/>
        <w:textAlignment w:val="baseline"/>
        <w:rPr>
          <w:rStyle w:val="Strong"/>
          <w:b w:val="0"/>
          <w:bCs w:val="0"/>
          <w:color w:val="auto"/>
          <w:szCs w:val="24"/>
          <w:bdr w:val="none" w:sz="0" w:space="0" w:color="auto" w:frame="1"/>
        </w:rPr>
      </w:pPr>
      <w:r w:rsidRPr="005E408F">
        <w:rPr>
          <w:rStyle w:val="Strong"/>
          <w:b w:val="0"/>
          <w:bCs w:val="0"/>
          <w:color w:val="auto"/>
          <w:szCs w:val="24"/>
          <w:bdr w:val="none" w:sz="0" w:space="0" w:color="auto" w:frame="1"/>
        </w:rPr>
        <w:t xml:space="preserve">We will undertake reasonable due diligence </w:t>
      </w:r>
      <w:proofErr w:type="gramStart"/>
      <w:r w:rsidRPr="005E408F">
        <w:rPr>
          <w:rStyle w:val="Strong"/>
          <w:b w:val="0"/>
          <w:bCs w:val="0"/>
          <w:color w:val="auto"/>
          <w:szCs w:val="24"/>
          <w:bdr w:val="none" w:sz="0" w:space="0" w:color="auto" w:frame="1"/>
        </w:rPr>
        <w:t>of</w:t>
      </w:r>
      <w:proofErr w:type="gramEnd"/>
      <w:r w:rsidRPr="005E408F">
        <w:rPr>
          <w:rStyle w:val="Strong"/>
          <w:b w:val="0"/>
          <w:bCs w:val="0"/>
          <w:color w:val="auto"/>
          <w:szCs w:val="24"/>
          <w:bdr w:val="none" w:sz="0" w:space="0" w:color="auto" w:frame="1"/>
        </w:rPr>
        <w:t xml:space="preserve"> donors, to ensure they </w:t>
      </w:r>
      <w:proofErr w:type="gramStart"/>
      <w:r w:rsidRPr="005E408F">
        <w:rPr>
          <w:rStyle w:val="Strong"/>
          <w:b w:val="0"/>
          <w:bCs w:val="0"/>
          <w:color w:val="auto"/>
          <w:szCs w:val="24"/>
          <w:bdr w:val="none" w:sz="0" w:space="0" w:color="auto" w:frame="1"/>
        </w:rPr>
        <w:t>don't</w:t>
      </w:r>
      <w:proofErr w:type="gramEnd"/>
      <w:r w:rsidRPr="005E408F">
        <w:rPr>
          <w:rStyle w:val="Strong"/>
          <w:b w:val="0"/>
          <w:bCs w:val="0"/>
          <w:color w:val="auto"/>
          <w:szCs w:val="24"/>
          <w:bdr w:val="none" w:sz="0" w:space="0" w:color="auto" w:frame="1"/>
        </w:rPr>
        <w:t xml:space="preserve"> hold views or are involved in activities that might be incompatible with our role and damage our reputation. In terms of donations, we will ensure that any gift is safe to accept and, doing so, would be in the best interests of your charity. </w:t>
      </w:r>
    </w:p>
    <w:p w14:paraId="65793710" w14:textId="44F055EA" w:rsidR="0078574D" w:rsidRDefault="0078574D" w:rsidP="0078574D">
      <w:pPr>
        <w:pStyle w:val="NormalWeb"/>
        <w:shd w:val="clear" w:color="auto" w:fill="FFFFFF"/>
        <w:spacing w:line="276" w:lineRule="auto"/>
        <w:textAlignment w:val="baseline"/>
        <w:rPr>
          <w:rStyle w:val="Strong"/>
          <w:b w:val="0"/>
          <w:bCs w:val="0"/>
          <w:color w:val="auto"/>
          <w:szCs w:val="24"/>
          <w:bdr w:val="none" w:sz="0" w:space="0" w:color="auto" w:frame="1"/>
        </w:rPr>
      </w:pPr>
      <w:r w:rsidRPr="005E408F">
        <w:rPr>
          <w:rStyle w:val="Strong"/>
          <w:b w:val="0"/>
          <w:bCs w:val="0"/>
          <w:color w:val="auto"/>
          <w:szCs w:val="24"/>
          <w:bdr w:val="none" w:sz="0" w:space="0" w:color="auto" w:frame="1"/>
        </w:rPr>
        <w:t xml:space="preserve">We will also consider issues, such suspicious donations, or managing large anonymous gifts, or those from vulnerable individuals. If there may be any risk in terms of our working with individuals who have </w:t>
      </w:r>
      <w:proofErr w:type="gramStart"/>
      <w:r w:rsidRPr="005E408F">
        <w:rPr>
          <w:rStyle w:val="Strong"/>
          <w:b w:val="0"/>
          <w:bCs w:val="0"/>
          <w:color w:val="auto"/>
          <w:szCs w:val="24"/>
          <w:bdr w:val="none" w:sz="0" w:space="0" w:color="auto" w:frame="1"/>
        </w:rPr>
        <w:t>been placed</w:t>
      </w:r>
      <w:proofErr w:type="gramEnd"/>
      <w:r w:rsidRPr="005E408F">
        <w:rPr>
          <w:rStyle w:val="Strong"/>
          <w:b w:val="0"/>
          <w:bCs w:val="0"/>
          <w:color w:val="auto"/>
          <w:szCs w:val="24"/>
          <w:bdr w:val="none" w:sz="0" w:space="0" w:color="auto" w:frame="1"/>
        </w:rPr>
        <w:t xml:space="preserve"> on the UK designated persons or sanctions lists, we will check these</w:t>
      </w:r>
      <w:r w:rsidR="005E408F" w:rsidRPr="005E408F">
        <w:rPr>
          <w:rStyle w:val="Strong"/>
          <w:b w:val="0"/>
          <w:bCs w:val="0"/>
          <w:color w:val="auto"/>
          <w:szCs w:val="24"/>
          <w:bdr w:val="none" w:sz="0" w:space="0" w:color="auto" w:frame="1"/>
        </w:rPr>
        <w:t xml:space="preserve">. </w:t>
      </w:r>
    </w:p>
    <w:p w14:paraId="79010BDE" w14:textId="77777777" w:rsidR="00EA6874" w:rsidRPr="009D0B36" w:rsidRDefault="00EA6874" w:rsidP="00EA6874">
      <w:pPr>
        <w:pStyle w:val="NormalWeb"/>
        <w:shd w:val="clear" w:color="auto" w:fill="FFFFFF"/>
        <w:spacing w:before="0" w:after="0" w:line="276" w:lineRule="auto"/>
        <w:textAlignment w:val="baseline"/>
        <w:rPr>
          <w:rFonts w:ascii="Century Gothic" w:hAnsi="Century Gothic"/>
          <w:b/>
          <w:bCs/>
          <w:color w:val="215868" w:themeColor="accent5" w:themeShade="80"/>
          <w:sz w:val="32"/>
          <w:szCs w:val="32"/>
        </w:rPr>
      </w:pPr>
      <w:r w:rsidRPr="009D0B36">
        <w:rPr>
          <w:rFonts w:ascii="Century Gothic" w:hAnsi="Century Gothic"/>
          <w:b/>
          <w:bCs/>
          <w:color w:val="215868" w:themeColor="accent5" w:themeShade="80"/>
          <w:sz w:val="32"/>
          <w:szCs w:val="32"/>
        </w:rPr>
        <w:t>Individuals</w:t>
      </w:r>
    </w:p>
    <w:p w14:paraId="38312CB3" w14:textId="3F02E771" w:rsidR="00EA6874" w:rsidRPr="00922525" w:rsidRDefault="00EA6874" w:rsidP="00EA6874">
      <w:pPr>
        <w:pStyle w:val="NormalWeb"/>
        <w:shd w:val="clear" w:color="auto" w:fill="FFFFFF"/>
        <w:spacing w:before="0" w:after="0" w:line="276" w:lineRule="auto"/>
        <w:textAlignment w:val="baseline"/>
        <w:rPr>
          <w:rFonts w:asciiTheme="majorHAnsi" w:hAnsiTheme="majorHAnsi"/>
          <w:color w:val="0B0C0C"/>
        </w:rPr>
      </w:pPr>
      <w:r>
        <w:rPr>
          <w:color w:val="auto"/>
        </w:rPr>
        <w:t xml:space="preserve">There may be circumstances where you may consider it appropriate to check individuals. There are a variety of checks that could be </w:t>
      </w:r>
      <w:proofErr w:type="gramStart"/>
      <w:r>
        <w:rPr>
          <w:color w:val="auto"/>
        </w:rPr>
        <w:t>carried out</w:t>
      </w:r>
      <w:proofErr w:type="gramEnd"/>
      <w:r>
        <w:rPr>
          <w:color w:val="auto"/>
        </w:rPr>
        <w:t>, including if someone:</w:t>
      </w:r>
    </w:p>
    <w:p w14:paraId="518C9BFA" w14:textId="77777777" w:rsidR="00EA6874" w:rsidRPr="00286C44" w:rsidRDefault="00EA6874" w:rsidP="00EA6874">
      <w:pPr>
        <w:numPr>
          <w:ilvl w:val="0"/>
          <w:numId w:val="12"/>
        </w:numPr>
        <w:shd w:val="clear" w:color="auto" w:fill="FFFFFF"/>
        <w:spacing w:after="75" w:line="276" w:lineRule="auto"/>
        <w:ind w:left="300"/>
        <w:rPr>
          <w:rFonts w:ascii="Calibri Light" w:hAnsi="Calibri Light" w:cs="Calibri Light"/>
          <w:color w:val="0B0C0C"/>
        </w:rPr>
      </w:pPr>
      <w:r w:rsidRPr="00286C44">
        <w:rPr>
          <w:rFonts w:ascii="Calibri Light" w:hAnsi="Calibri Light" w:cs="Calibri Light"/>
          <w:color w:val="0B0C0C"/>
        </w:rPr>
        <w:t xml:space="preserve">is currently </w:t>
      </w:r>
      <w:hyperlink r:id="rId7" w:history="1">
        <w:r w:rsidRPr="00286C44">
          <w:rPr>
            <w:rStyle w:val="Hyperlink"/>
            <w:rFonts w:ascii="Calibri Light" w:hAnsi="Calibri Light" w:cs="Calibri Light"/>
          </w:rPr>
          <w:t>declared bankrupt</w:t>
        </w:r>
      </w:hyperlink>
      <w:r w:rsidRPr="00286C44">
        <w:rPr>
          <w:rFonts w:ascii="Calibri Light" w:hAnsi="Calibri Light" w:cs="Calibri Light"/>
          <w:color w:val="0B0C0C"/>
        </w:rPr>
        <w:t xml:space="preserve"> (or is subject to bankruptcy restrictions or an interim order) or has an individual voluntary agreement (IVA) with </w:t>
      </w:r>
      <w:proofErr w:type="gramStart"/>
      <w:r w:rsidRPr="00286C44">
        <w:rPr>
          <w:rFonts w:ascii="Calibri Light" w:hAnsi="Calibri Light" w:cs="Calibri Light"/>
          <w:color w:val="0B0C0C"/>
        </w:rPr>
        <w:t>creditors</w:t>
      </w:r>
      <w:proofErr w:type="gramEnd"/>
    </w:p>
    <w:p w14:paraId="1A48B491" w14:textId="77777777" w:rsidR="00EA6874" w:rsidRPr="00286C44" w:rsidRDefault="00EA6874" w:rsidP="00EA6874">
      <w:pPr>
        <w:numPr>
          <w:ilvl w:val="0"/>
          <w:numId w:val="12"/>
        </w:numPr>
        <w:shd w:val="clear" w:color="auto" w:fill="FFFFFF"/>
        <w:spacing w:line="276" w:lineRule="auto"/>
        <w:ind w:left="300"/>
        <w:rPr>
          <w:rFonts w:ascii="Calibri Light" w:hAnsi="Calibri Light" w:cs="Calibri Light"/>
          <w:color w:val="0B0C0C"/>
        </w:rPr>
      </w:pPr>
      <w:r w:rsidRPr="00286C44">
        <w:rPr>
          <w:rFonts w:ascii="Calibri Light" w:hAnsi="Calibri Light" w:cs="Calibri Light"/>
          <w:color w:val="0B0C0C"/>
        </w:rPr>
        <w:t>is</w:t>
      </w:r>
      <w:r w:rsidRPr="00286C44">
        <w:rPr>
          <w:rStyle w:val="apple-converted-space"/>
          <w:rFonts w:ascii="Calibri Light" w:hAnsi="Calibri Light" w:cs="Calibri Light"/>
          <w:color w:val="0B0C0C"/>
        </w:rPr>
        <w:t> </w:t>
      </w:r>
      <w:hyperlink r:id="rId8" w:history="1">
        <w:r w:rsidRPr="00286C44">
          <w:rPr>
            <w:rStyle w:val="Hyperlink"/>
            <w:rFonts w:ascii="Calibri Light" w:hAnsi="Calibri Light" w:cs="Calibri Light"/>
            <w:color w:val="4C2C92"/>
            <w:bdr w:val="none" w:sz="0" w:space="0" w:color="auto" w:frame="1"/>
          </w:rPr>
          <w:t>disqualified from being a company director</w:t>
        </w:r>
      </w:hyperlink>
    </w:p>
    <w:p w14:paraId="7243E3FB" w14:textId="77777777" w:rsidR="00EA6874" w:rsidRPr="00286C44" w:rsidRDefault="00EA6874" w:rsidP="00EA6874">
      <w:pPr>
        <w:numPr>
          <w:ilvl w:val="0"/>
          <w:numId w:val="12"/>
        </w:numPr>
        <w:shd w:val="clear" w:color="auto" w:fill="FFFFFF"/>
        <w:spacing w:after="75" w:line="276" w:lineRule="auto"/>
        <w:ind w:left="300"/>
        <w:rPr>
          <w:rFonts w:ascii="Calibri Light" w:hAnsi="Calibri Light" w:cs="Calibri Light"/>
          <w:color w:val="0B0C0C"/>
        </w:rPr>
      </w:pPr>
      <w:r w:rsidRPr="00286C44">
        <w:rPr>
          <w:rFonts w:ascii="Calibri Light" w:hAnsi="Calibri Light" w:cs="Calibri Light"/>
          <w:color w:val="0B0C0C"/>
        </w:rPr>
        <w:t xml:space="preserve">has previously been removed as a trustee by either the commission or the High Court due to misconduct or mismanagement. Charity Commission </w:t>
      </w:r>
      <w:hyperlink r:id="rId9" w:history="1">
        <w:r w:rsidRPr="00286C44">
          <w:rPr>
            <w:rStyle w:val="Hyperlink"/>
            <w:rFonts w:ascii="Calibri Light" w:hAnsi="Calibri Light" w:cs="Calibri Light"/>
          </w:rPr>
          <w:t>automatic disqualification rules</w:t>
        </w:r>
      </w:hyperlink>
      <w:r w:rsidRPr="00286C44">
        <w:rPr>
          <w:rFonts w:ascii="Calibri Light" w:hAnsi="Calibri Light" w:cs="Calibri Light"/>
          <w:color w:val="0B0C0C"/>
        </w:rPr>
        <w:t xml:space="preserve">.  You can check individuals names’ </w:t>
      </w:r>
      <w:hyperlink r:id="rId10" w:history="1">
        <w:r w:rsidRPr="00286C44">
          <w:rPr>
            <w:rStyle w:val="Hyperlink"/>
            <w:rFonts w:ascii="Calibri Light" w:hAnsi="Calibri Light" w:cs="Calibri Light"/>
          </w:rPr>
          <w:t>here</w:t>
        </w:r>
      </w:hyperlink>
      <w:r w:rsidRPr="00286C44">
        <w:rPr>
          <w:rFonts w:ascii="Calibri Light" w:hAnsi="Calibri Light" w:cs="Calibri Light"/>
          <w:color w:val="0B0C0C"/>
        </w:rPr>
        <w:t>.</w:t>
      </w:r>
    </w:p>
    <w:p w14:paraId="318E1510" w14:textId="77777777" w:rsidR="00EA6874" w:rsidRPr="00286C44" w:rsidRDefault="00EA6874" w:rsidP="00EA6874">
      <w:pPr>
        <w:numPr>
          <w:ilvl w:val="0"/>
          <w:numId w:val="12"/>
        </w:numPr>
        <w:shd w:val="clear" w:color="auto" w:fill="FFFFFF"/>
        <w:spacing w:after="75" w:line="276" w:lineRule="auto"/>
        <w:ind w:left="300"/>
        <w:rPr>
          <w:rFonts w:ascii="Calibri Light" w:hAnsi="Calibri Light" w:cs="Calibri Light"/>
          <w:color w:val="0B0C0C"/>
        </w:rPr>
      </w:pPr>
      <w:r w:rsidRPr="00286C44">
        <w:rPr>
          <w:rFonts w:ascii="Calibri Light" w:hAnsi="Calibri Light" w:cs="Calibri Light"/>
          <w:color w:val="0B0C0C"/>
        </w:rPr>
        <w:t xml:space="preserve">Is listed on any UK </w:t>
      </w:r>
      <w:hyperlink r:id="rId11" w:history="1">
        <w:r w:rsidRPr="00286C44">
          <w:rPr>
            <w:rStyle w:val="Hyperlink"/>
            <w:rFonts w:ascii="Calibri Light" w:hAnsi="Calibri Light" w:cs="Calibri Light"/>
          </w:rPr>
          <w:t>registers of court and other judgements</w:t>
        </w:r>
      </w:hyperlink>
      <w:r w:rsidRPr="00286C44">
        <w:rPr>
          <w:rFonts w:ascii="Calibri Light" w:hAnsi="Calibri Light" w:cs="Calibri Light"/>
          <w:color w:val="0B0C0C"/>
        </w:rPr>
        <w:t xml:space="preserve"> (small fee). </w:t>
      </w:r>
    </w:p>
    <w:p w14:paraId="52288EF4" w14:textId="77777777" w:rsidR="00EA6874" w:rsidRPr="00286C44" w:rsidRDefault="00EA6874" w:rsidP="0078574D">
      <w:pPr>
        <w:pStyle w:val="NormalWeb"/>
        <w:shd w:val="clear" w:color="auto" w:fill="FFFFFF"/>
        <w:spacing w:line="276" w:lineRule="auto"/>
        <w:textAlignment w:val="baseline"/>
        <w:rPr>
          <w:rStyle w:val="Strong"/>
          <w:rFonts w:cs="Calibri Light"/>
          <w:b w:val="0"/>
          <w:bCs w:val="0"/>
          <w:color w:val="auto"/>
          <w:szCs w:val="24"/>
          <w:bdr w:val="none" w:sz="0" w:space="0" w:color="auto" w:frame="1"/>
        </w:rPr>
      </w:pPr>
    </w:p>
    <w:p w14:paraId="657193A7" w14:textId="77777777" w:rsidR="0078574D" w:rsidRPr="009D0B36" w:rsidRDefault="0078574D" w:rsidP="0078574D">
      <w:pPr>
        <w:pStyle w:val="NormalWeb"/>
        <w:shd w:val="clear" w:color="auto" w:fill="FFFFFF"/>
        <w:spacing w:before="0" w:after="0" w:line="276" w:lineRule="auto"/>
        <w:textAlignment w:val="baseline"/>
        <w:rPr>
          <w:rStyle w:val="Strong"/>
          <w:rFonts w:ascii="Century Gothic" w:hAnsi="Century Gothic"/>
          <w:color w:val="215868" w:themeColor="accent5" w:themeShade="80"/>
          <w:sz w:val="32"/>
          <w:szCs w:val="32"/>
          <w:bdr w:val="none" w:sz="0" w:space="0" w:color="auto" w:frame="1"/>
        </w:rPr>
      </w:pPr>
      <w:r w:rsidRPr="009D0B36">
        <w:rPr>
          <w:rStyle w:val="Strong"/>
          <w:rFonts w:ascii="Century Gothic" w:hAnsi="Century Gothic"/>
          <w:color w:val="215868" w:themeColor="accent5" w:themeShade="80"/>
          <w:sz w:val="32"/>
          <w:szCs w:val="32"/>
          <w:bdr w:val="none" w:sz="0" w:space="0" w:color="auto" w:frame="1"/>
        </w:rPr>
        <w:t>Additional Checks</w:t>
      </w:r>
    </w:p>
    <w:p w14:paraId="513A572B" w14:textId="77777777" w:rsidR="0078574D" w:rsidRPr="00922C7E" w:rsidRDefault="0078574D" w:rsidP="0078574D">
      <w:pPr>
        <w:pStyle w:val="NormalWeb"/>
        <w:shd w:val="clear" w:color="auto" w:fill="FFFFFF"/>
        <w:spacing w:before="0" w:after="0" w:line="276" w:lineRule="auto"/>
        <w:textAlignment w:val="baseline"/>
        <w:rPr>
          <w:color w:val="auto"/>
        </w:rPr>
      </w:pPr>
      <w:r w:rsidRPr="00922C7E">
        <w:rPr>
          <w:color w:val="auto"/>
        </w:rPr>
        <w:t xml:space="preserve">Depending on the nature, location of a project and the degree of risk, applicable additional checks may be </w:t>
      </w:r>
      <w:proofErr w:type="gramStart"/>
      <w:r w:rsidRPr="00922C7E">
        <w:rPr>
          <w:color w:val="auto"/>
        </w:rPr>
        <w:t>carried out</w:t>
      </w:r>
      <w:proofErr w:type="gramEnd"/>
      <w:r w:rsidRPr="00922C7E">
        <w:rPr>
          <w:color w:val="auto"/>
        </w:rPr>
        <w:t xml:space="preserve">, using the framework below. </w:t>
      </w:r>
    </w:p>
    <w:p w14:paraId="462EDCDF" w14:textId="6CAEAE8E" w:rsidR="0078574D" w:rsidRPr="00922C7E" w:rsidRDefault="0078574D" w:rsidP="0078574D">
      <w:pPr>
        <w:pStyle w:val="NormalWeb"/>
        <w:shd w:val="clear" w:color="auto" w:fill="FFFFFF"/>
        <w:spacing w:before="0" w:after="0" w:line="276" w:lineRule="auto"/>
        <w:textAlignment w:val="baseline"/>
        <w:rPr>
          <w:rFonts w:asciiTheme="majorHAnsi" w:hAnsiTheme="majorHAnsi"/>
          <w:color w:val="auto"/>
          <w:szCs w:val="24"/>
        </w:rPr>
      </w:pPr>
      <w:r w:rsidRPr="00922C7E">
        <w:rPr>
          <w:rStyle w:val="Strong"/>
          <w:rFonts w:asciiTheme="majorHAnsi" w:hAnsiTheme="majorHAnsi"/>
          <w:color w:val="215868" w:themeColor="accent5" w:themeShade="80"/>
          <w:szCs w:val="24"/>
          <w:bdr w:val="none" w:sz="0" w:space="0" w:color="auto" w:frame="1"/>
        </w:rPr>
        <w:t xml:space="preserve">Ethics </w:t>
      </w:r>
      <w:r w:rsidRPr="00922C7E">
        <w:rPr>
          <w:rStyle w:val="Strong"/>
          <w:rFonts w:asciiTheme="majorHAnsi" w:hAnsiTheme="majorHAnsi"/>
          <w:color w:val="auto"/>
          <w:szCs w:val="24"/>
          <w:bdr w:val="none" w:sz="0" w:space="0" w:color="auto" w:frame="1"/>
        </w:rPr>
        <w:t>- </w:t>
      </w:r>
      <w:r w:rsidRPr="00922C7E">
        <w:rPr>
          <w:rFonts w:asciiTheme="majorHAnsi" w:hAnsiTheme="majorHAnsi"/>
          <w:color w:val="auto"/>
          <w:szCs w:val="24"/>
        </w:rPr>
        <w:t xml:space="preserve">activities that are illegal or incompatible with our values. Issues such as corruption/bribery, criminal activities, discrimination, </w:t>
      </w:r>
      <w:r w:rsidR="007A25A1">
        <w:rPr>
          <w:rFonts w:asciiTheme="majorHAnsi" w:hAnsiTheme="majorHAnsi"/>
          <w:color w:val="auto"/>
          <w:szCs w:val="24"/>
        </w:rPr>
        <w:t xml:space="preserve">bullying, </w:t>
      </w:r>
      <w:r w:rsidRPr="00922C7E">
        <w:rPr>
          <w:rFonts w:asciiTheme="majorHAnsi" w:hAnsiTheme="majorHAnsi"/>
          <w:color w:val="auto"/>
          <w:szCs w:val="24"/>
        </w:rPr>
        <w:t xml:space="preserve">exploitation of people, or the environment, or involvement with radical groups, or companies, regimes, </w:t>
      </w:r>
      <w:proofErr w:type="gramStart"/>
      <w:r w:rsidRPr="00922C7E">
        <w:rPr>
          <w:rFonts w:asciiTheme="majorHAnsi" w:hAnsiTheme="majorHAnsi"/>
          <w:color w:val="auto"/>
          <w:szCs w:val="24"/>
        </w:rPr>
        <w:t>products</w:t>
      </w:r>
      <w:proofErr w:type="gramEnd"/>
      <w:r w:rsidRPr="00922C7E">
        <w:rPr>
          <w:rFonts w:asciiTheme="majorHAnsi" w:hAnsiTheme="majorHAnsi"/>
          <w:color w:val="auto"/>
          <w:szCs w:val="24"/>
        </w:rPr>
        <w:t xml:space="preserve"> or services that conflict with our aims/values.</w:t>
      </w:r>
    </w:p>
    <w:p w14:paraId="0EDC1F19" w14:textId="77777777" w:rsidR="0078574D" w:rsidRPr="00AD5943" w:rsidRDefault="0078574D" w:rsidP="0078574D">
      <w:pPr>
        <w:pStyle w:val="NormalWeb"/>
        <w:numPr>
          <w:ilvl w:val="0"/>
          <w:numId w:val="8"/>
        </w:numPr>
        <w:shd w:val="clear" w:color="auto" w:fill="FFFFFF"/>
        <w:spacing w:before="0" w:after="0" w:line="276" w:lineRule="auto"/>
        <w:textAlignment w:val="baseline"/>
        <w:rPr>
          <w:rFonts w:asciiTheme="majorHAnsi" w:hAnsiTheme="majorHAnsi"/>
          <w:color w:val="auto"/>
          <w:szCs w:val="24"/>
        </w:rPr>
      </w:pPr>
      <w:r w:rsidRPr="00AD5943">
        <w:rPr>
          <w:rFonts w:asciiTheme="majorHAnsi" w:hAnsiTheme="majorHAnsi"/>
          <w:color w:val="auto"/>
          <w:szCs w:val="24"/>
        </w:rPr>
        <w:t xml:space="preserve">Confirmation that there are adequate safeguarding procedures in place and </w:t>
      </w:r>
      <w:proofErr w:type="gramStart"/>
      <w:r w:rsidRPr="00AD5943">
        <w:rPr>
          <w:rFonts w:asciiTheme="majorHAnsi" w:hAnsiTheme="majorHAnsi"/>
          <w:color w:val="auto"/>
          <w:szCs w:val="24"/>
        </w:rPr>
        <w:t>being consistently applied</w:t>
      </w:r>
      <w:proofErr w:type="gramEnd"/>
      <w:r w:rsidRPr="00AD5943">
        <w:rPr>
          <w:rFonts w:asciiTheme="majorHAnsi" w:hAnsiTheme="majorHAnsi"/>
          <w:color w:val="auto"/>
          <w:szCs w:val="24"/>
        </w:rPr>
        <w:t xml:space="preserve"> to ensure vulnerable people are kept safe from harm. </w:t>
      </w:r>
    </w:p>
    <w:p w14:paraId="2DA1AB85" w14:textId="77777777" w:rsidR="0078574D" w:rsidRPr="00922C7E" w:rsidRDefault="0078574D" w:rsidP="0078574D">
      <w:pPr>
        <w:pStyle w:val="NormalWeb"/>
        <w:numPr>
          <w:ilvl w:val="0"/>
          <w:numId w:val="8"/>
        </w:numPr>
        <w:shd w:val="clear" w:color="auto" w:fill="FFFFFF"/>
        <w:spacing w:before="0" w:after="0" w:line="276" w:lineRule="auto"/>
        <w:textAlignment w:val="baseline"/>
        <w:rPr>
          <w:color w:val="auto"/>
        </w:rPr>
      </w:pPr>
      <w:r w:rsidRPr="00922C7E">
        <w:rPr>
          <w:rFonts w:asciiTheme="majorHAnsi" w:hAnsiTheme="majorHAnsi"/>
          <w:color w:val="auto"/>
          <w:szCs w:val="24"/>
        </w:rPr>
        <w:t xml:space="preserve">For large UK </w:t>
      </w:r>
      <w:r>
        <w:rPr>
          <w:rFonts w:asciiTheme="majorHAnsi" w:hAnsiTheme="majorHAnsi"/>
          <w:color w:val="auto"/>
          <w:szCs w:val="24"/>
        </w:rPr>
        <w:t>organisations</w:t>
      </w:r>
      <w:r w:rsidRPr="00922C7E">
        <w:rPr>
          <w:rFonts w:asciiTheme="majorHAnsi" w:hAnsiTheme="majorHAnsi"/>
          <w:color w:val="auto"/>
          <w:szCs w:val="24"/>
        </w:rPr>
        <w:t>, compliance with the </w:t>
      </w:r>
      <w:hyperlink r:id="rId12" w:tgtFrame="_blank" w:history="1">
        <w:r w:rsidRPr="000D1221">
          <w:rPr>
            <w:rStyle w:val="Hyperlink"/>
            <w:rFonts w:asciiTheme="majorHAnsi" w:hAnsiTheme="majorHAnsi"/>
            <w:szCs w:val="24"/>
            <w:bdr w:val="none" w:sz="0" w:space="0" w:color="auto" w:frame="1"/>
          </w:rPr>
          <w:t>Modern Slavery Act UK</w:t>
        </w:r>
      </w:hyperlink>
      <w:r w:rsidRPr="00922C7E">
        <w:rPr>
          <w:rFonts w:asciiTheme="majorHAnsi" w:hAnsiTheme="majorHAnsi"/>
          <w:color w:val="auto"/>
          <w:szCs w:val="24"/>
        </w:rPr>
        <w:t>, including their supply chain management</w:t>
      </w:r>
      <w:r w:rsidRPr="00922C7E">
        <w:rPr>
          <w:color w:val="auto"/>
        </w:rPr>
        <w:t>.</w:t>
      </w:r>
    </w:p>
    <w:p w14:paraId="6386AF70" w14:textId="77777777" w:rsidR="0078574D" w:rsidRPr="0072021D" w:rsidRDefault="0078574D" w:rsidP="0078574D">
      <w:pPr>
        <w:pStyle w:val="NormalWeb"/>
        <w:numPr>
          <w:ilvl w:val="0"/>
          <w:numId w:val="9"/>
        </w:numPr>
        <w:shd w:val="clear" w:color="auto" w:fill="FFFFFF"/>
        <w:spacing w:before="0" w:after="0" w:line="276" w:lineRule="auto"/>
        <w:textAlignment w:val="baseline"/>
        <w:rPr>
          <w:szCs w:val="24"/>
        </w:rPr>
      </w:pPr>
      <w:r w:rsidRPr="00922C7E">
        <w:rPr>
          <w:color w:val="auto"/>
          <w:szCs w:val="24"/>
        </w:rPr>
        <w:lastRenderedPageBreak/>
        <w:t>For UK individuals, checks for </w:t>
      </w:r>
      <w:hyperlink r:id="rId13" w:tgtFrame="_blank" w:history="1">
        <w:r w:rsidRPr="0072021D">
          <w:rPr>
            <w:rStyle w:val="Hyperlink"/>
            <w:szCs w:val="24"/>
            <w:bdr w:val="none" w:sz="0" w:space="0" w:color="auto" w:frame="1"/>
          </w:rPr>
          <w:t>disqualified director</w:t>
        </w:r>
      </w:hyperlink>
      <w:r w:rsidRPr="0072021D">
        <w:rPr>
          <w:szCs w:val="24"/>
        </w:rPr>
        <w:t>, </w:t>
      </w:r>
      <w:hyperlink r:id="rId14" w:tgtFrame="_blank" w:history="1">
        <w:r w:rsidRPr="0072021D">
          <w:rPr>
            <w:rStyle w:val="Hyperlink"/>
            <w:szCs w:val="24"/>
            <w:bdr w:val="none" w:sz="0" w:space="0" w:color="auto" w:frame="1"/>
          </w:rPr>
          <w:t>insolvency/bankruptcy</w:t>
        </w:r>
      </w:hyperlink>
      <w:r w:rsidRPr="0072021D">
        <w:rPr>
          <w:szCs w:val="24"/>
        </w:rPr>
        <w:t> </w:t>
      </w:r>
      <w:r w:rsidRPr="00922C7E">
        <w:rPr>
          <w:color w:val="auto"/>
          <w:szCs w:val="24"/>
        </w:rPr>
        <w:t>or Charity Commission </w:t>
      </w:r>
      <w:hyperlink r:id="rId15" w:tgtFrame="_blank" w:history="1">
        <w:r w:rsidRPr="0072021D">
          <w:rPr>
            <w:rStyle w:val="Hyperlink"/>
            <w:szCs w:val="24"/>
            <w:bdr w:val="none" w:sz="0" w:space="0" w:color="auto" w:frame="1"/>
          </w:rPr>
          <w:t>automatic disqualification</w:t>
        </w:r>
      </w:hyperlink>
      <w:r w:rsidRPr="0072021D">
        <w:rPr>
          <w:szCs w:val="24"/>
        </w:rPr>
        <w:t>.</w:t>
      </w:r>
    </w:p>
    <w:p w14:paraId="41055273" w14:textId="77777777" w:rsidR="0078574D" w:rsidRPr="00922C7E" w:rsidRDefault="0078574D" w:rsidP="0078574D">
      <w:pPr>
        <w:pStyle w:val="NormalWeb"/>
        <w:numPr>
          <w:ilvl w:val="0"/>
          <w:numId w:val="9"/>
        </w:numPr>
        <w:shd w:val="clear" w:color="auto" w:fill="FFFFFF"/>
        <w:spacing w:before="0" w:after="0" w:line="276" w:lineRule="auto"/>
        <w:textAlignment w:val="baseline"/>
        <w:rPr>
          <w:color w:val="auto"/>
          <w:szCs w:val="24"/>
        </w:rPr>
      </w:pPr>
      <w:r w:rsidRPr="00922C7E">
        <w:rPr>
          <w:color w:val="auto"/>
          <w:szCs w:val="24"/>
        </w:rPr>
        <w:t>For donors - potentially </w:t>
      </w:r>
      <w:hyperlink r:id="rId16" w:tgtFrame="_blank" w:history="1">
        <w:r w:rsidRPr="0072021D">
          <w:rPr>
            <w:rStyle w:val="Hyperlink"/>
            <w:szCs w:val="24"/>
            <w:bdr w:val="none" w:sz="0" w:space="0" w:color="auto" w:frame="1"/>
          </w:rPr>
          <w:t>tainted donations</w:t>
        </w:r>
      </w:hyperlink>
      <w:r w:rsidRPr="0072021D">
        <w:rPr>
          <w:szCs w:val="24"/>
        </w:rPr>
        <w:t> </w:t>
      </w:r>
      <w:r w:rsidRPr="00922C7E">
        <w:rPr>
          <w:color w:val="auto"/>
          <w:szCs w:val="24"/>
        </w:rPr>
        <w:t>(tax avoidance schemes). </w:t>
      </w:r>
    </w:p>
    <w:p w14:paraId="0438DBCD" w14:textId="77777777" w:rsidR="0078574D" w:rsidRPr="00922C7E" w:rsidRDefault="0078574D" w:rsidP="0078574D">
      <w:pPr>
        <w:pStyle w:val="NormalWeb"/>
        <w:shd w:val="clear" w:color="auto" w:fill="FFFFFF"/>
        <w:spacing w:before="0" w:after="0" w:line="276" w:lineRule="auto"/>
        <w:textAlignment w:val="baseline"/>
        <w:rPr>
          <w:color w:val="auto"/>
        </w:rPr>
      </w:pPr>
      <w:r w:rsidRPr="00922C7E">
        <w:rPr>
          <w:rStyle w:val="Strong"/>
          <w:color w:val="215868" w:themeColor="accent5" w:themeShade="80"/>
          <w:szCs w:val="24"/>
          <w:bdr w:val="none" w:sz="0" w:space="0" w:color="auto" w:frame="1"/>
        </w:rPr>
        <w:t xml:space="preserve">Finance </w:t>
      </w:r>
      <w:r w:rsidRPr="00922C7E">
        <w:rPr>
          <w:rStyle w:val="Strong"/>
          <w:color w:val="auto"/>
          <w:szCs w:val="24"/>
          <w:bdr w:val="none" w:sz="0" w:space="0" w:color="auto" w:frame="1"/>
        </w:rPr>
        <w:t>–</w:t>
      </w:r>
      <w:r w:rsidRPr="00922C7E">
        <w:rPr>
          <w:rStyle w:val="Strong"/>
          <w:color w:val="auto"/>
          <w:sz w:val="30"/>
          <w:szCs w:val="30"/>
          <w:bdr w:val="none" w:sz="0" w:space="0" w:color="auto" w:frame="1"/>
        </w:rPr>
        <w:t> </w:t>
      </w:r>
      <w:r w:rsidRPr="00922C7E">
        <w:rPr>
          <w:color w:val="auto"/>
        </w:rPr>
        <w:t>risk of takeover, sustained annual operating losses, level of leverage (debt) too high for their sector, bad credit risk, liquidity (cash flow) issues, weak asset base, unusual, related party or intercompany transactions, or significant amounts of capital being taken out of company, adverse comments by auditors, court judgements, significant recent debt restructuring/profit warnings or redundancies.</w:t>
      </w:r>
    </w:p>
    <w:p w14:paraId="1454E8AB" w14:textId="77777777" w:rsidR="0078574D" w:rsidRPr="00922C7E" w:rsidRDefault="0078574D" w:rsidP="0078574D">
      <w:pPr>
        <w:pStyle w:val="NormalWeb"/>
        <w:numPr>
          <w:ilvl w:val="0"/>
          <w:numId w:val="10"/>
        </w:numPr>
        <w:shd w:val="clear" w:color="auto" w:fill="FFFFFF"/>
        <w:spacing w:before="0" w:after="0" w:line="276" w:lineRule="auto"/>
        <w:textAlignment w:val="baseline"/>
        <w:rPr>
          <w:color w:val="auto"/>
          <w:szCs w:val="24"/>
        </w:rPr>
      </w:pPr>
      <w:r w:rsidRPr="00922C7E">
        <w:rPr>
          <w:color w:val="auto"/>
          <w:szCs w:val="24"/>
        </w:rPr>
        <w:t>If applicable,</w:t>
      </w:r>
      <w:r>
        <w:rPr>
          <w:color w:val="auto"/>
          <w:szCs w:val="24"/>
        </w:rPr>
        <w:t xml:space="preserve"> the </w:t>
      </w:r>
      <w:hyperlink r:id="rId17" w:history="1">
        <w:r w:rsidRPr="005453C3">
          <w:rPr>
            <w:rStyle w:val="Hyperlink"/>
            <w:szCs w:val="24"/>
          </w:rPr>
          <w:t>Charity Co</w:t>
        </w:r>
        <w:r>
          <w:rPr>
            <w:rStyle w:val="Hyperlink"/>
            <w:szCs w:val="24"/>
          </w:rPr>
          <w:t>m</w:t>
        </w:r>
        <w:r w:rsidRPr="005453C3">
          <w:rPr>
            <w:rStyle w:val="Hyperlink"/>
            <w:szCs w:val="24"/>
          </w:rPr>
          <w:t>mission for England and Wales</w:t>
        </w:r>
      </w:hyperlink>
      <w:r>
        <w:rPr>
          <w:color w:val="auto"/>
          <w:szCs w:val="24"/>
        </w:rPr>
        <w:t xml:space="preserve">, </w:t>
      </w:r>
      <w:hyperlink r:id="rId18" w:history="1">
        <w:r w:rsidRPr="005453C3">
          <w:rPr>
            <w:rStyle w:val="Hyperlink"/>
            <w:szCs w:val="24"/>
          </w:rPr>
          <w:t>OSCR (Scotland</w:t>
        </w:r>
      </w:hyperlink>
      <w:r>
        <w:rPr>
          <w:color w:val="auto"/>
          <w:szCs w:val="24"/>
        </w:rPr>
        <w:t xml:space="preserve">), </w:t>
      </w:r>
      <w:hyperlink r:id="rId19" w:history="1">
        <w:r w:rsidRPr="005453C3">
          <w:rPr>
            <w:rStyle w:val="Hyperlink"/>
            <w:szCs w:val="24"/>
          </w:rPr>
          <w:t>CCNI (Northern Ireland)</w:t>
        </w:r>
      </w:hyperlink>
      <w:r>
        <w:rPr>
          <w:color w:val="auto"/>
          <w:szCs w:val="24"/>
        </w:rPr>
        <w:t xml:space="preserve">, </w:t>
      </w:r>
      <w:hyperlink r:id="rId20" w:tgtFrame="_blank" w:history="1">
        <w:r>
          <w:rPr>
            <w:rStyle w:val="Hyperlink"/>
            <w:szCs w:val="24"/>
            <w:bdr w:val="none" w:sz="0" w:space="0" w:color="auto" w:frame="1"/>
          </w:rPr>
          <w:t>UK C</w:t>
        </w:r>
        <w:r w:rsidRPr="0072021D">
          <w:rPr>
            <w:rStyle w:val="Hyperlink"/>
            <w:szCs w:val="24"/>
            <w:bdr w:val="none" w:sz="0" w:space="0" w:color="auto" w:frame="1"/>
          </w:rPr>
          <w:t>ompanies House</w:t>
        </w:r>
      </w:hyperlink>
      <w:r w:rsidRPr="00922C7E">
        <w:rPr>
          <w:color w:val="auto"/>
          <w:szCs w:val="24"/>
        </w:rPr>
        <w:t xml:space="preserve"> (or other registrar) records and obtain a copy of their accounts, if available. </w:t>
      </w:r>
    </w:p>
    <w:p w14:paraId="186EAD82" w14:textId="77777777" w:rsidR="0078574D" w:rsidRPr="00922C7E" w:rsidRDefault="0078574D" w:rsidP="0078574D">
      <w:pPr>
        <w:pStyle w:val="NormalWeb"/>
        <w:numPr>
          <w:ilvl w:val="0"/>
          <w:numId w:val="10"/>
        </w:numPr>
        <w:shd w:val="clear" w:color="auto" w:fill="FFFFFF"/>
        <w:spacing w:line="276" w:lineRule="auto"/>
        <w:textAlignment w:val="baseline"/>
        <w:rPr>
          <w:color w:val="auto"/>
          <w:szCs w:val="24"/>
        </w:rPr>
      </w:pPr>
      <w:r w:rsidRPr="00922C7E">
        <w:rPr>
          <w:color w:val="auto"/>
          <w:szCs w:val="24"/>
        </w:rPr>
        <w:t>Buy an online company assessment/risk report.</w:t>
      </w:r>
    </w:p>
    <w:p w14:paraId="69030F58" w14:textId="77777777" w:rsidR="0078574D" w:rsidRPr="00922C7E" w:rsidRDefault="0078574D" w:rsidP="0078574D">
      <w:pPr>
        <w:pStyle w:val="NormalWeb"/>
        <w:shd w:val="clear" w:color="auto" w:fill="FFFFFF"/>
        <w:spacing w:before="0" w:after="0" w:line="276" w:lineRule="auto"/>
        <w:textAlignment w:val="baseline"/>
        <w:rPr>
          <w:color w:val="auto"/>
          <w:szCs w:val="24"/>
        </w:rPr>
      </w:pPr>
      <w:r w:rsidRPr="00922C7E">
        <w:rPr>
          <w:rStyle w:val="Strong"/>
          <w:color w:val="215868" w:themeColor="accent5" w:themeShade="80"/>
          <w:szCs w:val="24"/>
          <w:bdr w:val="none" w:sz="0" w:space="0" w:color="auto" w:frame="1"/>
        </w:rPr>
        <w:t xml:space="preserve">Ability to Deliver </w:t>
      </w:r>
      <w:r w:rsidRPr="00922C7E">
        <w:rPr>
          <w:rStyle w:val="Strong"/>
          <w:color w:val="auto"/>
          <w:szCs w:val="24"/>
          <w:bdr w:val="none" w:sz="0" w:space="0" w:color="auto" w:frame="1"/>
        </w:rPr>
        <w:t>- </w:t>
      </w:r>
      <w:r w:rsidRPr="00922C7E">
        <w:rPr>
          <w:color w:val="auto"/>
          <w:szCs w:val="24"/>
        </w:rPr>
        <w:t>capacity to deliver services/products, track record in delivery, security around key staff (e.g., a small company relying on a single individual), any supply chain issues (e.g., reliance on shipments from overseas), or an organisation that has operated in only a single area delivering in an entirely new one.</w:t>
      </w:r>
    </w:p>
    <w:p w14:paraId="357088DF" w14:textId="77777777" w:rsidR="0078574D" w:rsidRPr="00922C7E" w:rsidRDefault="0078574D" w:rsidP="0078574D">
      <w:pPr>
        <w:pStyle w:val="NormalWeb"/>
        <w:numPr>
          <w:ilvl w:val="0"/>
          <w:numId w:val="11"/>
        </w:numPr>
        <w:shd w:val="clear" w:color="auto" w:fill="FFFFFF"/>
        <w:spacing w:line="276" w:lineRule="auto"/>
        <w:textAlignment w:val="baseline"/>
        <w:rPr>
          <w:color w:val="auto"/>
          <w:szCs w:val="24"/>
        </w:rPr>
      </w:pPr>
      <w:r w:rsidRPr="00922C7E">
        <w:rPr>
          <w:color w:val="auto"/>
          <w:szCs w:val="24"/>
        </w:rPr>
        <w:t xml:space="preserve">Check during negotiations and </w:t>
      </w:r>
      <w:proofErr w:type="gramStart"/>
      <w:r w:rsidRPr="00922C7E">
        <w:rPr>
          <w:color w:val="auto"/>
          <w:szCs w:val="24"/>
        </w:rPr>
        <w:t>take up</w:t>
      </w:r>
      <w:proofErr w:type="gramEnd"/>
      <w:r w:rsidRPr="00922C7E">
        <w:rPr>
          <w:color w:val="auto"/>
          <w:szCs w:val="24"/>
        </w:rPr>
        <w:t xml:space="preserve"> references specifically covering any areas of concern.</w:t>
      </w:r>
    </w:p>
    <w:p w14:paraId="393FAE0D" w14:textId="77777777" w:rsidR="0078574D" w:rsidRPr="00922C7E" w:rsidRDefault="0078574D" w:rsidP="0078574D">
      <w:pPr>
        <w:pStyle w:val="NormalWeb"/>
        <w:shd w:val="clear" w:color="auto" w:fill="FFFFFF"/>
        <w:spacing w:before="0" w:after="0" w:line="276" w:lineRule="auto"/>
        <w:textAlignment w:val="baseline"/>
        <w:rPr>
          <w:color w:val="auto"/>
          <w:szCs w:val="24"/>
        </w:rPr>
      </w:pPr>
      <w:r w:rsidRPr="00922C7E">
        <w:rPr>
          <w:rStyle w:val="Strong"/>
          <w:color w:val="215868" w:themeColor="accent5" w:themeShade="80"/>
          <w:szCs w:val="24"/>
          <w:bdr w:val="none" w:sz="0" w:space="0" w:color="auto" w:frame="1"/>
        </w:rPr>
        <w:t xml:space="preserve">Reputational Risk </w:t>
      </w:r>
      <w:r w:rsidRPr="00922C7E">
        <w:rPr>
          <w:rStyle w:val="Strong"/>
          <w:color w:val="auto"/>
          <w:szCs w:val="24"/>
          <w:bdr w:val="none" w:sz="0" w:space="0" w:color="auto" w:frame="1"/>
        </w:rPr>
        <w:t>– </w:t>
      </w:r>
      <w:r w:rsidRPr="00922C7E">
        <w:rPr>
          <w:color w:val="auto"/>
          <w:szCs w:val="24"/>
        </w:rPr>
        <w:t>any potential negative media attention, or concerns from other funders/partners from being associated with this company/individual</w:t>
      </w:r>
      <w:proofErr w:type="gramStart"/>
      <w:r w:rsidRPr="00922C7E">
        <w:rPr>
          <w:color w:val="auto"/>
          <w:szCs w:val="24"/>
        </w:rPr>
        <w:t>.  </w:t>
      </w:r>
      <w:proofErr w:type="gramEnd"/>
      <w:r w:rsidRPr="00922C7E">
        <w:rPr>
          <w:color w:val="auto"/>
          <w:szCs w:val="24"/>
        </w:rPr>
        <w:t> </w:t>
      </w:r>
    </w:p>
    <w:p w14:paraId="5B04F6CC" w14:textId="77777777" w:rsidR="0078574D" w:rsidRPr="00922C7E" w:rsidRDefault="0078574D" w:rsidP="0078574D">
      <w:pPr>
        <w:pStyle w:val="NormalWeb"/>
        <w:shd w:val="clear" w:color="auto" w:fill="FFFFFF"/>
        <w:spacing w:before="0" w:after="0" w:line="276" w:lineRule="auto"/>
        <w:textAlignment w:val="baseline"/>
        <w:rPr>
          <w:color w:val="auto"/>
          <w:szCs w:val="24"/>
        </w:rPr>
      </w:pPr>
      <w:r w:rsidRPr="00922C7E">
        <w:rPr>
          <w:rStyle w:val="Strong"/>
          <w:color w:val="215868" w:themeColor="accent5" w:themeShade="80"/>
          <w:szCs w:val="24"/>
          <w:bdr w:val="none" w:sz="0" w:space="0" w:color="auto" w:frame="1"/>
        </w:rPr>
        <w:t>Contracts </w:t>
      </w:r>
      <w:r w:rsidRPr="00922C7E">
        <w:rPr>
          <w:color w:val="auto"/>
          <w:szCs w:val="24"/>
        </w:rPr>
        <w:t>- check that the balance between the costs, benefits and liabilities is fair, and there are no onerous or unreasonable obligations.</w:t>
      </w:r>
    </w:p>
    <w:p w14:paraId="687CD449" w14:textId="77777777" w:rsidR="0078574D" w:rsidRDefault="0078574D" w:rsidP="0078574D">
      <w:pPr>
        <w:pStyle w:val="NormalWeb"/>
        <w:shd w:val="clear" w:color="auto" w:fill="FFFFFF"/>
        <w:spacing w:before="0" w:after="0" w:line="276" w:lineRule="auto"/>
        <w:textAlignment w:val="baseline"/>
        <w:rPr>
          <w:color w:val="auto"/>
        </w:rPr>
      </w:pPr>
      <w:r w:rsidRPr="00922C7E">
        <w:rPr>
          <w:rStyle w:val="Strong"/>
          <w:color w:val="215868" w:themeColor="accent5" w:themeShade="80"/>
          <w:szCs w:val="24"/>
          <w:bdr w:val="none" w:sz="0" w:space="0" w:color="auto" w:frame="1"/>
        </w:rPr>
        <w:t>Conflicts of Interest </w:t>
      </w:r>
      <w:r w:rsidRPr="00922C7E">
        <w:rPr>
          <w:color w:val="auto"/>
          <w:szCs w:val="24"/>
        </w:rPr>
        <w:t xml:space="preserve">- ensure our conflict-of-interest policy is complied with. Additionally, our sector </w:t>
      </w:r>
      <w:proofErr w:type="gramStart"/>
      <w:r w:rsidRPr="00922C7E">
        <w:rPr>
          <w:color w:val="auto"/>
          <w:szCs w:val="24"/>
        </w:rPr>
        <w:t>is</w:t>
      </w:r>
      <w:r w:rsidRPr="00922C7E">
        <w:rPr>
          <w:color w:val="auto"/>
        </w:rPr>
        <w:t xml:space="preserve"> driven</w:t>
      </w:r>
      <w:proofErr w:type="gramEnd"/>
      <w:r w:rsidRPr="00922C7E">
        <w:rPr>
          <w:color w:val="auto"/>
        </w:rPr>
        <w:t xml:space="preserve"> by passion and funding is hugely challenging for many, which brings with it the risk of urgent need clouding thinking. The fundraisers and project leaders may well be best placed to </w:t>
      </w:r>
      <w:proofErr w:type="gramStart"/>
      <w:r w:rsidRPr="00922C7E">
        <w:rPr>
          <w:color w:val="auto"/>
        </w:rPr>
        <w:t>carry out</w:t>
      </w:r>
      <w:proofErr w:type="gramEnd"/>
      <w:r w:rsidRPr="00922C7E">
        <w:rPr>
          <w:color w:val="auto"/>
        </w:rPr>
        <w:t xml:space="preserve"> due diligence. However, their findings should </w:t>
      </w:r>
      <w:proofErr w:type="gramStart"/>
      <w:r w:rsidRPr="00922C7E">
        <w:rPr>
          <w:color w:val="auto"/>
        </w:rPr>
        <w:t>be reviewed</w:t>
      </w:r>
      <w:proofErr w:type="gramEnd"/>
      <w:r w:rsidRPr="00922C7E">
        <w:rPr>
          <w:color w:val="auto"/>
        </w:rPr>
        <w:t xml:space="preserve"> and approved by someone with the necessary experience and seniority, who is also sufficiently and demonstrably distant from the issue. </w:t>
      </w:r>
    </w:p>
    <w:p w14:paraId="7B34004A" w14:textId="562F3E49" w:rsidR="0078574D" w:rsidRDefault="0078574D" w:rsidP="0065049B">
      <w:pPr>
        <w:pStyle w:val="NormalWeb"/>
        <w:shd w:val="clear" w:color="auto" w:fill="FFFFFF"/>
        <w:spacing w:before="0" w:after="0" w:line="276" w:lineRule="auto"/>
        <w:textAlignment w:val="baseline"/>
        <w:rPr>
          <w:color w:val="auto"/>
        </w:rPr>
      </w:pPr>
      <w:r w:rsidRPr="00B14734">
        <w:rPr>
          <w:b/>
          <w:color w:val="215868" w:themeColor="accent5" w:themeShade="80"/>
        </w:rPr>
        <w:t>Contracts/Agreements</w:t>
      </w:r>
      <w:r w:rsidRPr="00B14734">
        <w:rPr>
          <w:color w:val="215868" w:themeColor="accent5" w:themeShade="80"/>
        </w:rPr>
        <w:t xml:space="preserve"> </w:t>
      </w:r>
      <w:r>
        <w:rPr>
          <w:color w:val="auto"/>
        </w:rPr>
        <w:t xml:space="preserve">– deliverables </w:t>
      </w:r>
      <w:proofErr w:type="gramStart"/>
      <w:r>
        <w:rPr>
          <w:color w:val="auto"/>
        </w:rPr>
        <w:t>wholly charitable</w:t>
      </w:r>
      <w:proofErr w:type="gramEnd"/>
      <w:r>
        <w:rPr>
          <w:color w:val="auto"/>
        </w:rPr>
        <w:t xml:space="preserve"> in nature, clearly specified (quantity/quality/timescale), clear monitoring and reporting throughout and at end of project, with provision to cancel/claw back funding, if necessary.</w:t>
      </w:r>
    </w:p>
    <w:p w14:paraId="28479CA5" w14:textId="77777777" w:rsidR="001C421A" w:rsidRPr="00943203" w:rsidRDefault="001C421A" w:rsidP="00767C17">
      <w:pPr>
        <w:rPr>
          <w:rFonts w:asciiTheme="majorHAnsi" w:hAnsiTheme="majorHAnsi" w:cstheme="majorHAnsi"/>
        </w:rPr>
      </w:pPr>
    </w:p>
    <w:sectPr w:rsidR="001C421A" w:rsidRPr="00943203" w:rsidSect="002E567B">
      <w:headerReference w:type="default" r:id="rId21"/>
      <w:footerReference w:type="default" r:id="rId22"/>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2A12" w14:textId="77777777" w:rsidR="00827A33" w:rsidRDefault="00827A33">
      <w:r>
        <w:separator/>
      </w:r>
    </w:p>
  </w:endnote>
  <w:endnote w:type="continuationSeparator" w:id="0">
    <w:p w14:paraId="622BFC16" w14:textId="77777777" w:rsidR="00827A33" w:rsidRDefault="0082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4B76" w14:textId="2EA56774" w:rsidR="00084D8D" w:rsidRPr="00FD6CF5" w:rsidRDefault="0065049B" w:rsidP="00084D8D">
    <w:pPr>
      <w:widowControl w:val="0"/>
      <w:autoSpaceDE w:val="0"/>
      <w:autoSpaceDN w:val="0"/>
      <w:adjustRightInd w:val="0"/>
      <w:jc w:val="center"/>
      <w:rPr>
        <w:rFonts w:ascii="Helvetica Neue" w:hAnsi="Helvetica Neue" w:cs="Calibri"/>
        <w:color w:val="4D4D4D"/>
        <w:sz w:val="20"/>
        <w:szCs w:val="20"/>
        <w:lang w:val="en-US"/>
      </w:rPr>
    </w:pPr>
    <w:hyperlink r:id="rId1" w:history="1">
      <w:r w:rsidR="00084D8D" w:rsidRPr="00FD6CF5">
        <w:rPr>
          <w:rFonts w:ascii="Helvetica Neue" w:hAnsi="Helvetica Neue" w:cs="Calibri"/>
          <w:color w:val="4D4D4D"/>
          <w:sz w:val="20"/>
          <w:szCs w:val="20"/>
          <w:lang w:val="en-US"/>
        </w:rPr>
        <w:t>www.manna-anglican.org</w:t>
      </w:r>
    </w:hyperlink>
  </w:p>
  <w:p w14:paraId="30E4D50B" w14:textId="77777777" w:rsidR="00084D8D" w:rsidRPr="00FD6CF5" w:rsidRDefault="00084D8D" w:rsidP="00084D8D">
    <w:pPr>
      <w:pStyle w:val="Footer"/>
      <w:jc w:val="center"/>
      <w:rPr>
        <w:rFonts w:ascii="Helvetica Neue" w:hAnsi="Helvetica Neue" w:cs="Calibri"/>
        <w:color w:val="4D4D4D"/>
        <w:sz w:val="20"/>
        <w:szCs w:val="20"/>
        <w:lang w:val="en-US"/>
      </w:rPr>
    </w:pPr>
  </w:p>
  <w:p w14:paraId="55CDE568" w14:textId="77777777" w:rsidR="00084D8D" w:rsidRPr="00FD6CF5" w:rsidRDefault="00084D8D" w:rsidP="00084D8D">
    <w:pPr>
      <w:pStyle w:val="Footer"/>
      <w:jc w:val="center"/>
      <w:rPr>
        <w:rFonts w:ascii="Helvetica Neue" w:hAnsi="Helvetica Neue"/>
        <w:sz w:val="20"/>
        <w:szCs w:val="20"/>
      </w:rPr>
    </w:pPr>
    <w:r w:rsidRPr="00FD6CF5">
      <w:rPr>
        <w:rFonts w:ascii="Helvetica Neue" w:hAnsi="Helvetica Neue" w:cs="Calibri"/>
        <w:color w:val="4D4D4D"/>
        <w:sz w:val="20"/>
        <w:szCs w:val="20"/>
        <w:lang w:val="en-US"/>
      </w:rPr>
      <w:t>Registered Charity No. 262818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5292B" w14:textId="77777777" w:rsidR="00827A33" w:rsidRDefault="00827A33">
      <w:r>
        <w:separator/>
      </w:r>
    </w:p>
  </w:footnote>
  <w:footnote w:type="continuationSeparator" w:id="0">
    <w:p w14:paraId="7F3511A5" w14:textId="77777777" w:rsidR="00827A33" w:rsidRDefault="00827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9A75" w14:textId="2BE579BF" w:rsidR="00084D8D" w:rsidRDefault="004E35C7">
    <w:pPr>
      <w:pStyle w:val="Header"/>
    </w:pPr>
    <w:r>
      <w:rPr>
        <w:noProof/>
        <w:lang w:val="en-US"/>
      </w:rPr>
      <w:drawing>
        <wp:anchor distT="0" distB="0" distL="114300" distR="114300" simplePos="0" relativeHeight="251658240" behindDoc="1" locked="0" layoutInCell="1" allowOverlap="1" wp14:anchorId="7C6AEC25" wp14:editId="0C015E17">
          <wp:simplePos x="0" y="0"/>
          <wp:positionH relativeFrom="column">
            <wp:posOffset>1466215</wp:posOffset>
          </wp:positionH>
          <wp:positionV relativeFrom="page">
            <wp:posOffset>302895</wp:posOffset>
          </wp:positionV>
          <wp:extent cx="3746500" cy="554990"/>
          <wp:effectExtent l="0" t="0" r="0" b="0"/>
          <wp:wrapNone/>
          <wp:docPr id="1" name="Picture 1" descr="Macintosh HD:Users:VilaManinga:Desktop:Full Colour - small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ilaManinga:Desktop:Full Colour - small 300 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00" cy="554990"/>
                  </a:xfrm>
                  <a:prstGeom prst="rect">
                    <a:avLst/>
                  </a:prstGeom>
                  <a:noFill/>
                  <a:ln w="9525">
                    <a:noFill/>
                    <a:miter lim="800000"/>
                    <a:headEnd/>
                    <a:tailEnd/>
                  </a:ln>
                </pic:spPr>
              </pic:pic>
            </a:graphicData>
          </a:graphic>
        </wp:anchor>
      </w:drawing>
    </w:r>
    <w:r w:rsidR="00084D8D">
      <w:tab/>
    </w:r>
  </w:p>
  <w:p w14:paraId="7F656FFD" w14:textId="77777777" w:rsidR="00084D8D" w:rsidRDefault="00084D8D">
    <w:pPr>
      <w:pStyle w:val="Header"/>
    </w:pPr>
  </w:p>
  <w:p w14:paraId="618EAF5C" w14:textId="77777777" w:rsidR="004E35C7" w:rsidRDefault="004E35C7" w:rsidP="00084D8D">
    <w:pPr>
      <w:pStyle w:val="Header"/>
      <w:jc w:val="center"/>
      <w:rPr>
        <w:rFonts w:ascii="Helvetica Neue" w:hAnsi="Helvetica Neue"/>
        <w:color w:val="7F7F7F" w:themeColor="text1" w:themeTint="80"/>
        <w:sz w:val="20"/>
      </w:rPr>
    </w:pPr>
  </w:p>
  <w:p w14:paraId="538AAE91" w14:textId="77777777" w:rsidR="00923280" w:rsidRPr="00FD6CF5" w:rsidRDefault="00923280" w:rsidP="00923280">
    <w:pPr>
      <w:pStyle w:val="Header"/>
      <w:jc w:val="center"/>
      <w:rPr>
        <w:rFonts w:ascii="Helvetica Neue" w:hAnsi="Helvetica Neue"/>
        <w:color w:val="7F7F7F" w:themeColor="text1" w:themeTint="80"/>
        <w:sz w:val="20"/>
        <w:szCs w:val="20"/>
      </w:rPr>
    </w:pPr>
    <w:r w:rsidRPr="00FD6CF5">
      <w:rPr>
        <w:rFonts w:ascii="Helvetica Neue" w:hAnsi="Helvetica Neue"/>
        <w:color w:val="7F7F7F" w:themeColor="text1" w:themeTint="80"/>
        <w:sz w:val="20"/>
        <w:szCs w:val="20"/>
      </w:rPr>
      <w:t>Partnering with Anglican Churches and Communities in Mozambique &amp; Angola</w:t>
    </w:r>
  </w:p>
  <w:p w14:paraId="44CF5FB2" w14:textId="5EB13BA5" w:rsidR="00084D8D" w:rsidRDefault="00084D8D">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221E"/>
    <w:multiLevelType w:val="hybridMultilevel"/>
    <w:tmpl w:val="309C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C1001"/>
    <w:multiLevelType w:val="hybridMultilevel"/>
    <w:tmpl w:val="C06683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A117C4"/>
    <w:multiLevelType w:val="hybridMultilevel"/>
    <w:tmpl w:val="C1A0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6360A"/>
    <w:multiLevelType w:val="hybridMultilevel"/>
    <w:tmpl w:val="A5AA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0651C"/>
    <w:multiLevelType w:val="hybridMultilevel"/>
    <w:tmpl w:val="55E49B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647776"/>
    <w:multiLevelType w:val="hybridMultilevel"/>
    <w:tmpl w:val="750CB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7D51CE"/>
    <w:multiLevelType w:val="hybridMultilevel"/>
    <w:tmpl w:val="3BA4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94723"/>
    <w:multiLevelType w:val="hybridMultilevel"/>
    <w:tmpl w:val="AD6E0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C511E7"/>
    <w:multiLevelType w:val="hybridMultilevel"/>
    <w:tmpl w:val="D64233FC"/>
    <w:lvl w:ilvl="0" w:tplc="08090001">
      <w:start w:val="1"/>
      <w:numFmt w:val="bullet"/>
      <w:lvlText w:val=""/>
      <w:lvlJc w:val="left"/>
      <w:pPr>
        <w:ind w:left="540" w:hanging="540"/>
      </w:pPr>
      <w:rPr>
        <w:rFonts w:ascii="Symbol" w:hAnsi="Symbol" w:hint="default"/>
      </w:rPr>
    </w:lvl>
    <w:lvl w:ilvl="1" w:tplc="B834260C">
      <w:numFmt w:val="bullet"/>
      <w:lvlText w:val="·"/>
      <w:lvlJc w:val="left"/>
      <w:pPr>
        <w:ind w:left="1260" w:hanging="540"/>
      </w:pPr>
      <w:rPr>
        <w:rFonts w:ascii="Calibri Light" w:eastAsiaTheme="minorHAnsi" w:hAnsi="Calibri Light" w:cs="Calibri 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DC4E5F"/>
    <w:multiLevelType w:val="hybridMultilevel"/>
    <w:tmpl w:val="B33A6A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031562"/>
    <w:multiLevelType w:val="hybridMultilevel"/>
    <w:tmpl w:val="2D6A9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9F589F"/>
    <w:multiLevelType w:val="hybridMultilevel"/>
    <w:tmpl w:val="3508F2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587731"/>
    <w:multiLevelType w:val="multilevel"/>
    <w:tmpl w:val="ED26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DF25E1"/>
    <w:multiLevelType w:val="hybridMultilevel"/>
    <w:tmpl w:val="A606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586206">
    <w:abstractNumId w:val="0"/>
  </w:num>
  <w:num w:numId="2" w16cid:durableId="846794076">
    <w:abstractNumId w:val="3"/>
  </w:num>
  <w:num w:numId="3" w16cid:durableId="566646420">
    <w:abstractNumId w:val="6"/>
  </w:num>
  <w:num w:numId="4" w16cid:durableId="1457217215">
    <w:abstractNumId w:val="13"/>
  </w:num>
  <w:num w:numId="5" w16cid:durableId="968710156">
    <w:abstractNumId w:val="2"/>
  </w:num>
  <w:num w:numId="6" w16cid:durableId="1219055187">
    <w:abstractNumId w:val="8"/>
  </w:num>
  <w:num w:numId="7" w16cid:durableId="861356187">
    <w:abstractNumId w:val="7"/>
  </w:num>
  <w:num w:numId="8" w16cid:durableId="1558738456">
    <w:abstractNumId w:val="5"/>
  </w:num>
  <w:num w:numId="9" w16cid:durableId="1319530109">
    <w:abstractNumId w:val="9"/>
  </w:num>
  <w:num w:numId="10" w16cid:durableId="1890604519">
    <w:abstractNumId w:val="4"/>
  </w:num>
  <w:num w:numId="11" w16cid:durableId="737216298">
    <w:abstractNumId w:val="11"/>
  </w:num>
  <w:num w:numId="12" w16cid:durableId="1856310945">
    <w:abstractNumId w:val="12"/>
  </w:num>
  <w:num w:numId="13" w16cid:durableId="162936118">
    <w:abstractNumId w:val="1"/>
  </w:num>
  <w:num w:numId="14" w16cid:durableId="3861495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084D8D"/>
    <w:rsid w:val="00012EF5"/>
    <w:rsid w:val="00015EE6"/>
    <w:rsid w:val="0001774C"/>
    <w:rsid w:val="000235C4"/>
    <w:rsid w:val="00032E89"/>
    <w:rsid w:val="00041462"/>
    <w:rsid w:val="00052BEE"/>
    <w:rsid w:val="00084D8D"/>
    <w:rsid w:val="000915AB"/>
    <w:rsid w:val="000941E3"/>
    <w:rsid w:val="00095F6E"/>
    <w:rsid w:val="000C263A"/>
    <w:rsid w:val="000C78C4"/>
    <w:rsid w:val="000D428D"/>
    <w:rsid w:val="00140B1D"/>
    <w:rsid w:val="00155642"/>
    <w:rsid w:val="00194800"/>
    <w:rsid w:val="001A72B0"/>
    <w:rsid w:val="001C421A"/>
    <w:rsid w:val="001C6C64"/>
    <w:rsid w:val="001D2817"/>
    <w:rsid w:val="001E732E"/>
    <w:rsid w:val="00204B1F"/>
    <w:rsid w:val="002242AF"/>
    <w:rsid w:val="0023056B"/>
    <w:rsid w:val="0024130E"/>
    <w:rsid w:val="002528E5"/>
    <w:rsid w:val="0027078A"/>
    <w:rsid w:val="00275E3C"/>
    <w:rsid w:val="002779AB"/>
    <w:rsid w:val="00286C44"/>
    <w:rsid w:val="002E567B"/>
    <w:rsid w:val="00300297"/>
    <w:rsid w:val="0034397F"/>
    <w:rsid w:val="003A1367"/>
    <w:rsid w:val="003A60C8"/>
    <w:rsid w:val="003A6FBE"/>
    <w:rsid w:val="003B5BBC"/>
    <w:rsid w:val="003D5834"/>
    <w:rsid w:val="003F3FDB"/>
    <w:rsid w:val="0041378F"/>
    <w:rsid w:val="0041621E"/>
    <w:rsid w:val="004273D0"/>
    <w:rsid w:val="00442F9E"/>
    <w:rsid w:val="00445725"/>
    <w:rsid w:val="00451420"/>
    <w:rsid w:val="00455713"/>
    <w:rsid w:val="00460013"/>
    <w:rsid w:val="004702B7"/>
    <w:rsid w:val="00475910"/>
    <w:rsid w:val="00490132"/>
    <w:rsid w:val="00492844"/>
    <w:rsid w:val="0049477E"/>
    <w:rsid w:val="00496A30"/>
    <w:rsid w:val="004A7DF8"/>
    <w:rsid w:val="004D3A3A"/>
    <w:rsid w:val="004E35C7"/>
    <w:rsid w:val="00500B62"/>
    <w:rsid w:val="0050118A"/>
    <w:rsid w:val="00501AE8"/>
    <w:rsid w:val="005136F4"/>
    <w:rsid w:val="005158AD"/>
    <w:rsid w:val="00541B34"/>
    <w:rsid w:val="00572FE9"/>
    <w:rsid w:val="00592962"/>
    <w:rsid w:val="005B27B3"/>
    <w:rsid w:val="005E408F"/>
    <w:rsid w:val="006152E3"/>
    <w:rsid w:val="00633C60"/>
    <w:rsid w:val="00635397"/>
    <w:rsid w:val="00641219"/>
    <w:rsid w:val="0065049B"/>
    <w:rsid w:val="00664822"/>
    <w:rsid w:val="00671459"/>
    <w:rsid w:val="00672CDF"/>
    <w:rsid w:val="006B1E87"/>
    <w:rsid w:val="006B4DB5"/>
    <w:rsid w:val="006B6065"/>
    <w:rsid w:val="006E5754"/>
    <w:rsid w:val="006F5703"/>
    <w:rsid w:val="00717E69"/>
    <w:rsid w:val="00722B64"/>
    <w:rsid w:val="00765B0D"/>
    <w:rsid w:val="0076713B"/>
    <w:rsid w:val="00767C17"/>
    <w:rsid w:val="00782AB4"/>
    <w:rsid w:val="0078574D"/>
    <w:rsid w:val="0079627E"/>
    <w:rsid w:val="007A25A1"/>
    <w:rsid w:val="007B080C"/>
    <w:rsid w:val="007B304F"/>
    <w:rsid w:val="007B3DDC"/>
    <w:rsid w:val="007C0AAE"/>
    <w:rsid w:val="007C0BE1"/>
    <w:rsid w:val="007C4337"/>
    <w:rsid w:val="007D739D"/>
    <w:rsid w:val="007F41E0"/>
    <w:rsid w:val="00820591"/>
    <w:rsid w:val="00827A33"/>
    <w:rsid w:val="008355C6"/>
    <w:rsid w:val="008506BA"/>
    <w:rsid w:val="00885C66"/>
    <w:rsid w:val="00887490"/>
    <w:rsid w:val="00893F0E"/>
    <w:rsid w:val="008A0814"/>
    <w:rsid w:val="008C59EF"/>
    <w:rsid w:val="008C72E4"/>
    <w:rsid w:val="008D52BE"/>
    <w:rsid w:val="00900F96"/>
    <w:rsid w:val="00914BD3"/>
    <w:rsid w:val="00923280"/>
    <w:rsid w:val="00926E04"/>
    <w:rsid w:val="009353A1"/>
    <w:rsid w:val="00943203"/>
    <w:rsid w:val="00950971"/>
    <w:rsid w:val="00955604"/>
    <w:rsid w:val="0096154D"/>
    <w:rsid w:val="00972A87"/>
    <w:rsid w:val="009743DF"/>
    <w:rsid w:val="00983532"/>
    <w:rsid w:val="009B2BBC"/>
    <w:rsid w:val="009E25E1"/>
    <w:rsid w:val="00A22A37"/>
    <w:rsid w:val="00A34F34"/>
    <w:rsid w:val="00A94EE6"/>
    <w:rsid w:val="00AB4803"/>
    <w:rsid w:val="00AD502E"/>
    <w:rsid w:val="00AE13DF"/>
    <w:rsid w:val="00B04B65"/>
    <w:rsid w:val="00B110F8"/>
    <w:rsid w:val="00B174CA"/>
    <w:rsid w:val="00B1762A"/>
    <w:rsid w:val="00B46BD0"/>
    <w:rsid w:val="00B6489D"/>
    <w:rsid w:val="00B74FDB"/>
    <w:rsid w:val="00BA1B1B"/>
    <w:rsid w:val="00BA5B0D"/>
    <w:rsid w:val="00BC6EC6"/>
    <w:rsid w:val="00BF6FF4"/>
    <w:rsid w:val="00C31AB8"/>
    <w:rsid w:val="00C5043E"/>
    <w:rsid w:val="00C6455E"/>
    <w:rsid w:val="00C65E64"/>
    <w:rsid w:val="00C67362"/>
    <w:rsid w:val="00C73CE2"/>
    <w:rsid w:val="00C817D4"/>
    <w:rsid w:val="00CA4417"/>
    <w:rsid w:val="00CC0B21"/>
    <w:rsid w:val="00CF21CA"/>
    <w:rsid w:val="00D00F2E"/>
    <w:rsid w:val="00D0227D"/>
    <w:rsid w:val="00D12CB0"/>
    <w:rsid w:val="00D1360D"/>
    <w:rsid w:val="00D31FEE"/>
    <w:rsid w:val="00D505F9"/>
    <w:rsid w:val="00D51826"/>
    <w:rsid w:val="00D559A6"/>
    <w:rsid w:val="00D71571"/>
    <w:rsid w:val="00D72B73"/>
    <w:rsid w:val="00D80133"/>
    <w:rsid w:val="00D917E2"/>
    <w:rsid w:val="00DB4C12"/>
    <w:rsid w:val="00E02B43"/>
    <w:rsid w:val="00E03930"/>
    <w:rsid w:val="00E32331"/>
    <w:rsid w:val="00E4099C"/>
    <w:rsid w:val="00E42CAE"/>
    <w:rsid w:val="00E43493"/>
    <w:rsid w:val="00E47B9D"/>
    <w:rsid w:val="00E84DEC"/>
    <w:rsid w:val="00EA5D37"/>
    <w:rsid w:val="00EA6874"/>
    <w:rsid w:val="00EE0D8C"/>
    <w:rsid w:val="00F30490"/>
    <w:rsid w:val="00F614BB"/>
    <w:rsid w:val="00F66A88"/>
    <w:rsid w:val="00F83903"/>
    <w:rsid w:val="00FB3A6F"/>
    <w:rsid w:val="00FC2AE4"/>
    <w:rsid w:val="00FD25C8"/>
    <w:rsid w:val="00FD6CF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A690"/>
  <w15:docId w15:val="{9871CF98-B53E-4DE9-8761-F83EBC27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78574D"/>
    <w:pPr>
      <w:spacing w:before="100" w:beforeAutospacing="1" w:after="100" w:afterAutospacing="1"/>
      <w:outlineLvl w:val="0"/>
    </w:pPr>
    <w:rPr>
      <w:rFonts w:ascii="Calibri Light" w:eastAsiaTheme="minorHAnsi" w:hAnsi="Calibri Light" w:cstheme="majorHAnsi"/>
      <w:b/>
      <w:bCs/>
      <w:color w:val="17365D" w:themeColor="text2" w:themeShade="BF"/>
      <w:spacing w:val="5"/>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D8D"/>
    <w:pPr>
      <w:tabs>
        <w:tab w:val="center" w:pos="4320"/>
        <w:tab w:val="right" w:pos="8640"/>
      </w:tabs>
    </w:pPr>
  </w:style>
  <w:style w:type="character" w:customStyle="1" w:styleId="HeaderChar">
    <w:name w:val="Header Char"/>
    <w:basedOn w:val="DefaultParagraphFont"/>
    <w:link w:val="Header"/>
    <w:uiPriority w:val="99"/>
    <w:rsid w:val="00084D8D"/>
  </w:style>
  <w:style w:type="paragraph" w:styleId="Footer">
    <w:name w:val="footer"/>
    <w:basedOn w:val="Normal"/>
    <w:link w:val="FooterChar"/>
    <w:uiPriority w:val="99"/>
    <w:unhideWhenUsed/>
    <w:rsid w:val="00084D8D"/>
    <w:pPr>
      <w:tabs>
        <w:tab w:val="center" w:pos="4320"/>
        <w:tab w:val="right" w:pos="8640"/>
      </w:tabs>
    </w:pPr>
  </w:style>
  <w:style w:type="character" w:customStyle="1" w:styleId="FooterChar">
    <w:name w:val="Footer Char"/>
    <w:basedOn w:val="DefaultParagraphFont"/>
    <w:link w:val="Footer"/>
    <w:uiPriority w:val="99"/>
    <w:rsid w:val="00084D8D"/>
  </w:style>
  <w:style w:type="paragraph" w:customStyle="1" w:styleId="04xlpa">
    <w:name w:val="_04xlpa"/>
    <w:basedOn w:val="Normal"/>
    <w:rsid w:val="00D72B73"/>
    <w:pPr>
      <w:spacing w:before="100" w:beforeAutospacing="1" w:after="100" w:afterAutospacing="1"/>
    </w:pPr>
    <w:rPr>
      <w:rFonts w:ascii="Times New Roman" w:eastAsia="Times New Roman" w:hAnsi="Times New Roman" w:cs="Times New Roman"/>
      <w:lang w:eastAsia="en-GB"/>
    </w:rPr>
  </w:style>
  <w:style w:type="character" w:customStyle="1" w:styleId="jsgrdq">
    <w:name w:val="jsgrdq"/>
    <w:basedOn w:val="DefaultParagraphFont"/>
    <w:rsid w:val="00D72B73"/>
  </w:style>
  <w:style w:type="character" w:styleId="Hyperlink">
    <w:name w:val="Hyperlink"/>
    <w:basedOn w:val="DefaultParagraphFont"/>
    <w:uiPriority w:val="99"/>
    <w:unhideWhenUsed/>
    <w:rsid w:val="00012EF5"/>
    <w:rPr>
      <w:color w:val="0000FF" w:themeColor="hyperlink"/>
      <w:u w:val="single"/>
    </w:rPr>
  </w:style>
  <w:style w:type="character" w:styleId="UnresolvedMention">
    <w:name w:val="Unresolved Mention"/>
    <w:basedOn w:val="DefaultParagraphFont"/>
    <w:uiPriority w:val="99"/>
    <w:semiHidden/>
    <w:unhideWhenUsed/>
    <w:rsid w:val="00012EF5"/>
    <w:rPr>
      <w:color w:val="605E5C"/>
      <w:shd w:val="clear" w:color="auto" w:fill="E1DFDD"/>
    </w:rPr>
  </w:style>
  <w:style w:type="paragraph" w:customStyle="1" w:styleId="xmsonormal">
    <w:name w:val="xmsonormal"/>
    <w:basedOn w:val="Normal"/>
    <w:rsid w:val="00460013"/>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FD6CF5"/>
    <w:pPr>
      <w:ind w:left="720"/>
      <w:contextualSpacing/>
    </w:pPr>
  </w:style>
  <w:style w:type="character" w:customStyle="1" w:styleId="Heading1Char">
    <w:name w:val="Heading 1 Char"/>
    <w:basedOn w:val="DefaultParagraphFont"/>
    <w:link w:val="Heading1"/>
    <w:uiPriority w:val="9"/>
    <w:rsid w:val="0078574D"/>
    <w:rPr>
      <w:rFonts w:ascii="Calibri Light" w:eastAsiaTheme="minorHAnsi" w:hAnsi="Calibri Light" w:cstheme="majorHAnsi"/>
      <w:b/>
      <w:bCs/>
      <w:color w:val="17365D" w:themeColor="text2" w:themeShade="BF"/>
      <w:spacing w:val="5"/>
      <w:kern w:val="36"/>
      <w:sz w:val="48"/>
      <w:szCs w:val="48"/>
      <w:lang w:eastAsia="en-GB"/>
    </w:rPr>
  </w:style>
  <w:style w:type="paragraph" w:customStyle="1" w:styleId="Alumna">
    <w:name w:val="Alumna"/>
    <w:basedOn w:val="Title"/>
    <w:next w:val="Subtitle"/>
    <w:link w:val="AlumnaCar"/>
    <w:qFormat/>
    <w:rsid w:val="0078574D"/>
  </w:style>
  <w:style w:type="character" w:customStyle="1" w:styleId="AlumnaCar">
    <w:name w:val="Alumna Car"/>
    <w:basedOn w:val="TitleChar"/>
    <w:link w:val="Alumna"/>
    <w:rsid w:val="0078574D"/>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78574D"/>
    <w:pPr>
      <w:spacing w:before="100" w:beforeAutospacing="1" w:after="100" w:afterAutospacing="1"/>
    </w:pPr>
    <w:rPr>
      <w:rFonts w:ascii="Calibri Light" w:eastAsiaTheme="minorHAnsi" w:hAnsi="Calibri Light" w:cstheme="majorHAnsi"/>
      <w:color w:val="17365D" w:themeColor="text2" w:themeShade="BF"/>
      <w:spacing w:val="5"/>
      <w:kern w:val="28"/>
      <w:szCs w:val="52"/>
      <w:lang w:val="en-US"/>
    </w:rPr>
  </w:style>
  <w:style w:type="table" w:styleId="TableGrid">
    <w:name w:val="Table Grid"/>
    <w:basedOn w:val="TableNormal"/>
    <w:uiPriority w:val="39"/>
    <w:rsid w:val="0078574D"/>
    <w:rPr>
      <w:rFonts w:ascii="Calibri Light" w:eastAsiaTheme="minorHAnsi" w:hAnsi="Calibri Light" w:cstheme="majorHAnsi"/>
      <w:color w:val="17365D" w:themeColor="text2" w:themeShade="BF"/>
      <w:spacing w:val="5"/>
      <w:kern w:val="28"/>
      <w:szCs w:val="5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574D"/>
    <w:rPr>
      <w:b/>
      <w:bCs/>
    </w:rPr>
  </w:style>
  <w:style w:type="character" w:customStyle="1" w:styleId="apple-converted-space">
    <w:name w:val="apple-converted-space"/>
    <w:basedOn w:val="DefaultParagraphFont"/>
    <w:rsid w:val="0078574D"/>
  </w:style>
  <w:style w:type="paragraph" w:styleId="Title">
    <w:name w:val="Title"/>
    <w:basedOn w:val="Normal"/>
    <w:next w:val="Normal"/>
    <w:link w:val="TitleChar"/>
    <w:rsid w:val="007857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85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sid w:val="0078574D"/>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rsid w:val="0078574D"/>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9126">
      <w:bodyDiv w:val="1"/>
      <w:marLeft w:val="0"/>
      <w:marRight w:val="0"/>
      <w:marTop w:val="0"/>
      <w:marBottom w:val="0"/>
      <w:divBdr>
        <w:top w:val="none" w:sz="0" w:space="0" w:color="auto"/>
        <w:left w:val="none" w:sz="0" w:space="0" w:color="auto"/>
        <w:bottom w:val="none" w:sz="0" w:space="0" w:color="auto"/>
        <w:right w:val="none" w:sz="0" w:space="0" w:color="auto"/>
      </w:divBdr>
    </w:div>
    <w:div w:id="481850918">
      <w:bodyDiv w:val="1"/>
      <w:marLeft w:val="0"/>
      <w:marRight w:val="0"/>
      <w:marTop w:val="0"/>
      <w:marBottom w:val="0"/>
      <w:divBdr>
        <w:top w:val="none" w:sz="0" w:space="0" w:color="auto"/>
        <w:left w:val="none" w:sz="0" w:space="0" w:color="auto"/>
        <w:bottom w:val="none" w:sz="0" w:space="0" w:color="auto"/>
        <w:right w:val="none" w:sz="0" w:space="0" w:color="auto"/>
      </w:divBdr>
    </w:div>
    <w:div w:id="555237629">
      <w:bodyDiv w:val="1"/>
      <w:marLeft w:val="0"/>
      <w:marRight w:val="0"/>
      <w:marTop w:val="0"/>
      <w:marBottom w:val="0"/>
      <w:divBdr>
        <w:top w:val="none" w:sz="0" w:space="0" w:color="auto"/>
        <w:left w:val="none" w:sz="0" w:space="0" w:color="auto"/>
        <w:bottom w:val="none" w:sz="0" w:space="0" w:color="auto"/>
        <w:right w:val="none" w:sz="0" w:space="0" w:color="auto"/>
      </w:divBdr>
    </w:div>
    <w:div w:id="1955207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mpany-director-disqualification" TargetMode="External"/><Relationship Id="rId13" Type="http://schemas.openxmlformats.org/officeDocument/2006/relationships/hyperlink" Target="https://www.gov.uk/search-the-register-of-disqualified-company-directors" TargetMode="External"/><Relationship Id="rId18" Type="http://schemas.openxmlformats.org/officeDocument/2006/relationships/hyperlink" Target="https://www.oscr.org.uk/about-charities/search-the-register/register-search/"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uk/search-bankruptcy-insolvency-register" TargetMode="External"/><Relationship Id="rId12" Type="http://schemas.openxmlformats.org/officeDocument/2006/relationships/hyperlink" Target="https://www.gov.uk/government/uploads/system/uploads/attachment_data/file/649906/Transparency_in_Supply_Chains_A_Practical_Guide_2017.pdf" TargetMode="External"/><Relationship Id="rId17" Type="http://schemas.openxmlformats.org/officeDocument/2006/relationships/hyperlink" Target="https://www.gov.uk/government/organisations/charity-commission" TargetMode="External"/><Relationship Id="rId2" Type="http://schemas.openxmlformats.org/officeDocument/2006/relationships/styles" Target="styles.xml"/><Relationship Id="rId16" Type="http://schemas.openxmlformats.org/officeDocument/2006/relationships/hyperlink" Target="https://www.gov.uk/government/publications/charities-detailed-guidance-notes/annex-viii-tainted-charity-donations" TargetMode="External"/><Relationship Id="rId20" Type="http://schemas.openxmlformats.org/officeDocument/2006/relationships/hyperlink" Target="https://www.gov.uk/get-information-about-a-compan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arch.trustonline.org.uk/Search/Pers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uidance/automatic-disqualification-rules-for-charity-trustees-and-charity-senior-positions" TargetMode="External"/><Relationship Id="rId23" Type="http://schemas.openxmlformats.org/officeDocument/2006/relationships/fontTable" Target="fontTable.xml"/><Relationship Id="rId10" Type="http://schemas.openxmlformats.org/officeDocument/2006/relationships/hyperlink" Target="https://apps.charitycommission.gov.uk/trusteeregister/search.aspx?RegisteredCharityNumber=&amp;CurrentLanguage=English&amp;SubsidiaryNumber=&amp;=DocType&amp;" TargetMode="External"/><Relationship Id="rId19" Type="http://schemas.openxmlformats.org/officeDocument/2006/relationships/hyperlink" Target="https://www.charitycommissionni.org.uk/charity-search/?pageNumber=1" TargetMode="External"/><Relationship Id="rId4" Type="http://schemas.openxmlformats.org/officeDocument/2006/relationships/webSettings" Target="webSettings.xml"/><Relationship Id="rId9" Type="http://schemas.openxmlformats.org/officeDocument/2006/relationships/hyperlink" Target="https://www.gov.uk/guidance/automatic-disqualification-rules-for-charity-trustees-and-charity-senior-positions" TargetMode="External"/><Relationship Id="rId14" Type="http://schemas.openxmlformats.org/officeDocument/2006/relationships/hyperlink" Target="https://www.gov.uk/search-bankruptcy-insolvency-registe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nna-anglic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3395</TotalTime>
  <Pages>3</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gigithomas38@gmail.com</dc:creator>
  <cp:keywords/>
  <cp:lastModifiedBy>Elizabeth Thomas</cp:lastModifiedBy>
  <cp:revision>128</cp:revision>
  <cp:lastPrinted>2023-02-09T14:55:00Z</cp:lastPrinted>
  <dcterms:created xsi:type="dcterms:W3CDTF">2019-06-03T09:46:00Z</dcterms:created>
  <dcterms:modified xsi:type="dcterms:W3CDTF">2024-01-10T14:49:00Z</dcterms:modified>
</cp:coreProperties>
</file>